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18AFA" w14:textId="103214E8" w:rsidR="00D25757" w:rsidRDefault="00D25757" w:rsidP="00D25757">
      <w:pPr>
        <w:pStyle w:val="TitleofPaper"/>
      </w:pPr>
      <w:r>
        <w:rPr>
          <w:rFonts w:eastAsia="SimSun"/>
        </w:rPr>
        <w:t xml:space="preserve">Evaluation of </w:t>
      </w:r>
      <w:r w:rsidR="00FD01EC">
        <w:rPr>
          <w:rFonts w:eastAsia="SimSun"/>
        </w:rPr>
        <w:t>S</w:t>
      </w:r>
      <w:r>
        <w:rPr>
          <w:rFonts w:eastAsia="SimSun"/>
        </w:rPr>
        <w:t xml:space="preserve">ustainable </w:t>
      </w:r>
      <w:r w:rsidR="00FD01EC">
        <w:rPr>
          <w:rFonts w:eastAsia="SimSun"/>
        </w:rPr>
        <w:t>C</w:t>
      </w:r>
      <w:r>
        <w:rPr>
          <w:rFonts w:eastAsia="SimSun"/>
        </w:rPr>
        <w:t xml:space="preserve">ompetitiveness </w:t>
      </w:r>
      <w:r w:rsidR="00472EA9">
        <w:rPr>
          <w:rFonts w:eastAsia="SimSun"/>
        </w:rPr>
        <w:t>t</w:t>
      </w:r>
      <w:r>
        <w:rPr>
          <w:rFonts w:eastAsia="SimSun"/>
        </w:rPr>
        <w:t xml:space="preserve">hrough </w:t>
      </w:r>
      <w:r w:rsidR="00FD01EC">
        <w:rPr>
          <w:rFonts w:eastAsia="SimSun"/>
        </w:rPr>
        <w:t>I</w:t>
      </w:r>
      <w:r>
        <w:rPr>
          <w:rFonts w:eastAsia="SimSun"/>
        </w:rPr>
        <w:t>nnovation</w:t>
      </w:r>
    </w:p>
    <w:p w14:paraId="519D816B" w14:textId="77777777" w:rsidR="00DE4E05" w:rsidRPr="00FD01EC" w:rsidRDefault="00DE4E05" w:rsidP="00DE4E05">
      <w:pPr>
        <w:pStyle w:val="Author"/>
        <w:rPr>
          <w:sz w:val="20"/>
          <w:szCs w:val="20"/>
          <w:lang w:val="pt-PT"/>
        </w:rPr>
      </w:pPr>
      <w:r w:rsidRPr="00FD01EC">
        <w:rPr>
          <w:rFonts w:eastAsia="Times New Roman"/>
          <w:color w:val="222222"/>
          <w:sz w:val="20"/>
          <w:szCs w:val="20"/>
          <w:lang w:val="pt-PT" w:eastAsia="pt-PT"/>
        </w:rPr>
        <w:t>Nuno Martins Cavaco</w:t>
      </w:r>
      <w:r w:rsidRPr="00FD01EC">
        <w:rPr>
          <w:rStyle w:val="a6"/>
          <w:sz w:val="20"/>
          <w:szCs w:val="20"/>
          <w:lang w:val="pt-PT"/>
        </w:rPr>
        <w:footnoteReference w:id="1"/>
      </w:r>
      <w:r w:rsidRPr="00FD01EC">
        <w:rPr>
          <w:sz w:val="20"/>
          <w:szCs w:val="20"/>
          <w:lang w:val="pt-PT"/>
        </w:rPr>
        <w:t xml:space="preserve">, </w:t>
      </w:r>
      <w:r w:rsidRPr="00FD01EC">
        <w:rPr>
          <w:rFonts w:eastAsia="Times New Roman"/>
          <w:color w:val="222222"/>
          <w:sz w:val="20"/>
          <w:szCs w:val="20"/>
          <w:lang w:val="pt-PT" w:eastAsia="pt-PT"/>
        </w:rPr>
        <w:t>V. Cruz Machado</w:t>
      </w:r>
      <w:r w:rsidRPr="00FD01EC">
        <w:rPr>
          <w:rStyle w:val="a6"/>
          <w:sz w:val="20"/>
          <w:szCs w:val="20"/>
          <w:lang w:val="pt-PT"/>
        </w:rPr>
        <w:footnoteReference w:id="2"/>
      </w:r>
    </w:p>
    <w:p w14:paraId="227AD597" w14:textId="77777777" w:rsidR="00DE4E05" w:rsidRPr="00FD01EC" w:rsidRDefault="00DE4E05" w:rsidP="00DE4E05">
      <w:pPr>
        <w:autoSpaceDE w:val="0"/>
        <w:autoSpaceDN w:val="0"/>
        <w:adjustRightInd w:val="0"/>
        <w:jc w:val="center"/>
        <w:rPr>
          <w:rFonts w:eastAsia="Times New Roman"/>
          <w:color w:val="222222"/>
          <w:lang w:eastAsia="pt-PT"/>
        </w:rPr>
      </w:pPr>
      <w:r w:rsidRPr="00FD01EC">
        <w:rPr>
          <w:vertAlign w:val="superscript"/>
        </w:rPr>
        <w:t>1</w:t>
      </w:r>
      <w:r w:rsidRPr="00FD01EC">
        <w:t xml:space="preserve"> UNIDEMI – Department of Mechanical and Industrial Engineering, Faculty of Science and Technology, FCT, </w:t>
      </w:r>
      <w:proofErr w:type="spellStart"/>
      <w:r w:rsidRPr="00FD01EC">
        <w:t>Universidade</w:t>
      </w:r>
      <w:proofErr w:type="spellEnd"/>
      <w:r w:rsidRPr="00FD01EC">
        <w:t xml:space="preserve"> Nova de </w:t>
      </w:r>
      <w:proofErr w:type="spellStart"/>
      <w:r w:rsidRPr="00FD01EC">
        <w:t>Lisboa</w:t>
      </w:r>
      <w:proofErr w:type="spellEnd"/>
      <w:r w:rsidRPr="00FD01EC">
        <w:rPr>
          <w:rFonts w:eastAsia="Times New Roman"/>
          <w:color w:val="222222"/>
          <w:lang w:eastAsia="pt-PT"/>
        </w:rPr>
        <w:t xml:space="preserve">, 2829-516 </w:t>
      </w:r>
      <w:proofErr w:type="spellStart"/>
      <w:r w:rsidRPr="00FD01EC">
        <w:rPr>
          <w:rFonts w:eastAsia="Times New Roman"/>
          <w:color w:val="222222"/>
          <w:lang w:eastAsia="pt-PT"/>
        </w:rPr>
        <w:t>Caparica</w:t>
      </w:r>
      <w:proofErr w:type="spellEnd"/>
      <w:r w:rsidRPr="00FD01EC">
        <w:rPr>
          <w:rFonts w:eastAsia="Times New Roman"/>
          <w:color w:val="222222"/>
          <w:lang w:eastAsia="pt-PT"/>
        </w:rPr>
        <w:t xml:space="preserve"> – PORTUGAL</w:t>
      </w:r>
    </w:p>
    <w:p w14:paraId="5D60D506" w14:textId="77777777" w:rsidR="00DE4E05" w:rsidRPr="00FD01EC" w:rsidRDefault="00DE4E05" w:rsidP="00DE4E05">
      <w:pPr>
        <w:autoSpaceDE w:val="0"/>
        <w:autoSpaceDN w:val="0"/>
        <w:adjustRightInd w:val="0"/>
        <w:jc w:val="center"/>
        <w:rPr>
          <w:rFonts w:eastAsia="Times New Roman"/>
          <w:color w:val="222222"/>
          <w:lang w:eastAsia="pt-PT"/>
        </w:rPr>
      </w:pPr>
      <w:r w:rsidRPr="00FD01EC">
        <w:tab/>
      </w:r>
      <w:r w:rsidRPr="00FD01EC">
        <w:rPr>
          <w:vertAlign w:val="superscript"/>
        </w:rPr>
        <w:t>2</w:t>
      </w:r>
      <w:r w:rsidRPr="00FD01EC">
        <w:t xml:space="preserve"> DEMI – Department of Mechanical and Industrial Engineering, Faculty of Science and Technology, FCT, </w:t>
      </w:r>
      <w:proofErr w:type="spellStart"/>
      <w:r w:rsidRPr="00FD01EC">
        <w:t>Universidade</w:t>
      </w:r>
      <w:proofErr w:type="spellEnd"/>
      <w:r w:rsidRPr="00FD01EC">
        <w:t xml:space="preserve"> Nova de </w:t>
      </w:r>
      <w:proofErr w:type="spellStart"/>
      <w:r w:rsidRPr="00FD01EC">
        <w:t>Lisboa</w:t>
      </w:r>
      <w:proofErr w:type="spellEnd"/>
      <w:r w:rsidRPr="00FD01EC">
        <w:rPr>
          <w:rFonts w:eastAsia="Times New Roman"/>
          <w:color w:val="222222"/>
          <w:lang w:eastAsia="pt-PT"/>
        </w:rPr>
        <w:t xml:space="preserve">, 2829-516 </w:t>
      </w:r>
      <w:proofErr w:type="spellStart"/>
      <w:r w:rsidRPr="00FD01EC">
        <w:rPr>
          <w:rFonts w:eastAsia="Times New Roman"/>
          <w:color w:val="222222"/>
          <w:lang w:eastAsia="pt-PT"/>
        </w:rPr>
        <w:t>Caparica</w:t>
      </w:r>
      <w:proofErr w:type="spellEnd"/>
      <w:r w:rsidRPr="00FD01EC">
        <w:rPr>
          <w:rFonts w:eastAsia="Times New Roman"/>
          <w:color w:val="222222"/>
          <w:lang w:eastAsia="pt-PT"/>
        </w:rPr>
        <w:t xml:space="preserve"> – PORTUGAL</w:t>
      </w:r>
    </w:p>
    <w:p w14:paraId="1AE2B408" w14:textId="77777777" w:rsidR="00D25757" w:rsidRPr="00DE4E05" w:rsidRDefault="00D25757" w:rsidP="00D25757">
      <w:pPr>
        <w:pStyle w:val="Data1"/>
        <w:rPr>
          <w:iCs/>
        </w:rPr>
      </w:pPr>
    </w:p>
    <w:p w14:paraId="31CE42A0" w14:textId="0B37B4F2" w:rsidR="00FD01EC" w:rsidRPr="00FD01EC" w:rsidRDefault="00D25757" w:rsidP="00FD01EC">
      <w:pPr>
        <w:pStyle w:val="ab"/>
        <w:jc w:val="center"/>
        <w:rPr>
          <w:rStyle w:val="abstractheadChar"/>
          <w:i/>
          <w:iCs/>
          <w:sz w:val="20"/>
          <w:szCs w:val="20"/>
        </w:rPr>
      </w:pPr>
      <w:r w:rsidRPr="00FD01EC">
        <w:rPr>
          <w:rStyle w:val="abstractheadChar"/>
          <w:iCs/>
          <w:sz w:val="20"/>
          <w:szCs w:val="20"/>
        </w:rPr>
        <w:t>Abstract</w:t>
      </w:r>
    </w:p>
    <w:p w14:paraId="4ACCCE1F" w14:textId="0C40ECEF" w:rsidR="00303B9E" w:rsidRPr="00FD01EC" w:rsidRDefault="00621F26" w:rsidP="00FD01EC">
      <w:pPr>
        <w:pStyle w:val="ab"/>
        <w:spacing w:line="276" w:lineRule="auto"/>
        <w:rPr>
          <w:sz w:val="20"/>
          <w:szCs w:val="20"/>
        </w:rPr>
      </w:pPr>
      <w:r w:rsidRPr="00FD01EC">
        <w:rPr>
          <w:sz w:val="20"/>
          <w:szCs w:val="20"/>
        </w:rPr>
        <w:t>C</w:t>
      </w:r>
      <w:r w:rsidR="00D25757" w:rsidRPr="00FD01EC">
        <w:rPr>
          <w:sz w:val="20"/>
          <w:szCs w:val="20"/>
        </w:rPr>
        <w:t>lients</w:t>
      </w:r>
      <w:r w:rsidRPr="00FD01EC">
        <w:rPr>
          <w:sz w:val="20"/>
          <w:szCs w:val="20"/>
        </w:rPr>
        <w:t>’</w:t>
      </w:r>
      <w:r w:rsidR="00D25757" w:rsidRPr="00FD01EC">
        <w:rPr>
          <w:sz w:val="20"/>
          <w:szCs w:val="20"/>
        </w:rPr>
        <w:t xml:space="preserve"> </w:t>
      </w:r>
      <w:r w:rsidRPr="00FD01EC">
        <w:rPr>
          <w:sz w:val="20"/>
          <w:szCs w:val="20"/>
        </w:rPr>
        <w:t xml:space="preserve">continuous expectation increase and the need to be ahead of competitors, cause a huge pressure </w:t>
      </w:r>
      <w:r w:rsidR="00C84EF9" w:rsidRPr="00FD01EC">
        <w:rPr>
          <w:sz w:val="20"/>
          <w:szCs w:val="20"/>
        </w:rPr>
        <w:t>in companies and aggressiveness into markets. Due to this fact, companies’ need to be in permanent change to gain</w:t>
      </w:r>
      <w:r w:rsidR="00D25757" w:rsidRPr="00FD01EC">
        <w:rPr>
          <w:sz w:val="20"/>
          <w:szCs w:val="20"/>
        </w:rPr>
        <w:t xml:space="preserve"> </w:t>
      </w:r>
      <w:r w:rsidR="00C84EF9" w:rsidRPr="00FD01EC">
        <w:rPr>
          <w:sz w:val="20"/>
          <w:szCs w:val="20"/>
        </w:rPr>
        <w:t>competitiveness. One way to achieve this aim is through innovation. But the question is How? Where to innovate? Innovation at any cost? What kind of impacts should be expected? Is it possible to evaluate companies</w:t>
      </w:r>
      <w:r w:rsidR="005A6C94" w:rsidRPr="00FD01EC">
        <w:rPr>
          <w:sz w:val="20"/>
          <w:szCs w:val="20"/>
        </w:rPr>
        <w:t>’ innovation</w:t>
      </w:r>
      <w:r w:rsidR="00C84EF9" w:rsidRPr="00FD01EC">
        <w:rPr>
          <w:sz w:val="20"/>
          <w:szCs w:val="20"/>
        </w:rPr>
        <w:t xml:space="preserve"> skills and stablish a relation with outcomes?</w:t>
      </w:r>
      <w:r w:rsidR="00CF3B35" w:rsidRPr="00FD01EC">
        <w:rPr>
          <w:sz w:val="20"/>
          <w:szCs w:val="20"/>
        </w:rPr>
        <w:t xml:space="preserve"> </w:t>
      </w:r>
      <w:r w:rsidR="00D25757" w:rsidRPr="00FD01EC">
        <w:rPr>
          <w:sz w:val="20"/>
          <w:szCs w:val="20"/>
        </w:rPr>
        <w:t xml:space="preserve">This paper provides a model </w:t>
      </w:r>
      <w:r w:rsidR="00C84EF9" w:rsidRPr="00FD01EC">
        <w:rPr>
          <w:sz w:val="20"/>
          <w:szCs w:val="20"/>
        </w:rPr>
        <w:t xml:space="preserve">that contributes to </w:t>
      </w:r>
      <w:r w:rsidR="00D25757" w:rsidRPr="00FD01EC">
        <w:rPr>
          <w:sz w:val="20"/>
          <w:szCs w:val="20"/>
        </w:rPr>
        <w:t>competitive advantage</w:t>
      </w:r>
      <w:r w:rsidR="00C84EF9" w:rsidRPr="00FD01EC">
        <w:rPr>
          <w:sz w:val="20"/>
          <w:szCs w:val="20"/>
        </w:rPr>
        <w:t xml:space="preserve"> creation </w:t>
      </w:r>
      <w:r w:rsidR="005A6C94" w:rsidRPr="00FD01EC">
        <w:rPr>
          <w:sz w:val="20"/>
          <w:szCs w:val="20"/>
        </w:rPr>
        <w:t xml:space="preserve">through innovation </w:t>
      </w:r>
      <w:r w:rsidR="00C84EF9" w:rsidRPr="00FD01EC">
        <w:rPr>
          <w:sz w:val="20"/>
          <w:szCs w:val="20"/>
        </w:rPr>
        <w:t xml:space="preserve">integrating concerns about sustainability, based on the </w:t>
      </w:r>
      <w:r w:rsidR="00D25757" w:rsidRPr="00FD01EC">
        <w:rPr>
          <w:sz w:val="20"/>
          <w:szCs w:val="20"/>
        </w:rPr>
        <w:t>triple bottom line</w:t>
      </w:r>
      <w:r w:rsidR="00C84EF9" w:rsidRPr="00FD01EC">
        <w:rPr>
          <w:sz w:val="20"/>
          <w:szCs w:val="20"/>
        </w:rPr>
        <w:t xml:space="preserve"> principles.</w:t>
      </w:r>
      <w:r w:rsidR="005A6C94" w:rsidRPr="00FD01EC">
        <w:rPr>
          <w:sz w:val="20"/>
          <w:szCs w:val="20"/>
        </w:rPr>
        <w:t xml:space="preserve"> Therefore, the model promote innovation preserving a balance between economic, social and environmental results. </w:t>
      </w:r>
      <w:r w:rsidR="00CF3B35" w:rsidRPr="00FD01EC">
        <w:rPr>
          <w:sz w:val="20"/>
          <w:szCs w:val="20"/>
        </w:rPr>
        <w:t xml:space="preserve"> </w:t>
      </w:r>
      <w:r w:rsidR="005A6C94" w:rsidRPr="00FD01EC">
        <w:rPr>
          <w:sz w:val="20"/>
          <w:szCs w:val="20"/>
        </w:rPr>
        <w:t xml:space="preserve">The model is based on 7 competitiveness drivers, which include all key factors of a company, and allow the evaluation of companies’ resources to be innovative, </w:t>
      </w:r>
      <w:proofErr w:type="gramStart"/>
      <w:r w:rsidR="005A6C94" w:rsidRPr="00FD01EC">
        <w:rPr>
          <w:sz w:val="20"/>
          <w:szCs w:val="20"/>
        </w:rPr>
        <w:t>taking into account</w:t>
      </w:r>
      <w:proofErr w:type="gramEnd"/>
      <w:r w:rsidR="005A6C94" w:rsidRPr="00FD01EC">
        <w:rPr>
          <w:sz w:val="20"/>
          <w:szCs w:val="20"/>
        </w:rPr>
        <w:t xml:space="preserve"> requirements structured in 8 proficiency levels.</w:t>
      </w:r>
      <w:r w:rsidR="00303B9E" w:rsidRPr="00FD01EC">
        <w:rPr>
          <w:sz w:val="20"/>
          <w:szCs w:val="20"/>
        </w:rPr>
        <w:t xml:space="preserve"> Additionally, the model </w:t>
      </w:r>
      <w:proofErr w:type="gramStart"/>
      <w:r w:rsidR="00303B9E" w:rsidRPr="00FD01EC">
        <w:rPr>
          <w:sz w:val="20"/>
          <w:szCs w:val="20"/>
        </w:rPr>
        <w:t>allow</w:t>
      </w:r>
      <w:proofErr w:type="gramEnd"/>
      <w:r w:rsidR="00303B9E" w:rsidRPr="00FD01EC">
        <w:rPr>
          <w:sz w:val="20"/>
          <w:szCs w:val="20"/>
        </w:rPr>
        <w:t xml:space="preserve"> the evaluation of the companies’ competitive advantage, considering innovation indicators, related to each competitiveness driver.</w:t>
      </w:r>
      <w:r w:rsidR="00CF3B35" w:rsidRPr="00FD01EC">
        <w:rPr>
          <w:sz w:val="20"/>
          <w:szCs w:val="20"/>
        </w:rPr>
        <w:t xml:space="preserve"> </w:t>
      </w:r>
      <w:r w:rsidR="00DE4E05" w:rsidRPr="00FD01EC">
        <w:rPr>
          <w:sz w:val="20"/>
          <w:szCs w:val="20"/>
        </w:rPr>
        <w:t>T</w:t>
      </w:r>
      <w:r w:rsidR="00303B9E" w:rsidRPr="00FD01EC">
        <w:rPr>
          <w:sz w:val="20"/>
          <w:szCs w:val="20"/>
        </w:rPr>
        <w:t>his evaluation promotes another perspective of companies’ innovation capability, as well as the identification of opportunities to improvements, concerning the areas where companies have lower scores regarding innovation resources and results.</w:t>
      </w:r>
      <w:r w:rsidR="00CF3B35" w:rsidRPr="00FD01EC">
        <w:rPr>
          <w:sz w:val="20"/>
          <w:szCs w:val="20"/>
        </w:rPr>
        <w:t xml:space="preserve"> </w:t>
      </w:r>
      <w:r w:rsidR="00303B9E" w:rsidRPr="00FD01EC">
        <w:rPr>
          <w:sz w:val="20"/>
          <w:szCs w:val="20"/>
        </w:rPr>
        <w:t xml:space="preserve">This model, in this perspective is an added value tool, once it allows a more focused approach about innovation priorities, </w:t>
      </w:r>
      <w:proofErr w:type="gramStart"/>
      <w:r w:rsidR="00303B9E" w:rsidRPr="00FD01EC">
        <w:rPr>
          <w:sz w:val="20"/>
          <w:szCs w:val="20"/>
        </w:rPr>
        <w:t>taking into account</w:t>
      </w:r>
      <w:proofErr w:type="gramEnd"/>
      <w:r w:rsidR="00303B9E" w:rsidRPr="00FD01EC">
        <w:rPr>
          <w:sz w:val="20"/>
          <w:szCs w:val="20"/>
        </w:rPr>
        <w:t xml:space="preserve"> that innovation cannot be just considered “product innovation” and the fact that there are a lot of other aspects in an organization that have influence on it.</w:t>
      </w:r>
    </w:p>
    <w:p w14:paraId="2E0C4EE2" w14:textId="109D7B1D" w:rsidR="00DE4E05" w:rsidRPr="00FD01EC" w:rsidRDefault="00D25757" w:rsidP="00CF3B35">
      <w:pPr>
        <w:pStyle w:val="ab"/>
        <w:rPr>
          <w:sz w:val="20"/>
          <w:szCs w:val="20"/>
        </w:rPr>
      </w:pPr>
      <w:r w:rsidRPr="00FD01EC">
        <w:rPr>
          <w:bCs/>
          <w:i/>
          <w:sz w:val="20"/>
          <w:szCs w:val="20"/>
        </w:rPr>
        <w:t>Keywords:</w:t>
      </w:r>
      <w:r w:rsidRPr="00FD01EC">
        <w:rPr>
          <w:sz w:val="20"/>
          <w:szCs w:val="20"/>
        </w:rPr>
        <w:t xml:space="preserve"> </w:t>
      </w:r>
      <w:r w:rsidR="00DF33FD">
        <w:rPr>
          <w:sz w:val="20"/>
          <w:szCs w:val="20"/>
        </w:rPr>
        <w:t>S</w:t>
      </w:r>
      <w:r w:rsidR="00303B9E" w:rsidRPr="00FD01EC">
        <w:rPr>
          <w:sz w:val="20"/>
          <w:szCs w:val="20"/>
        </w:rPr>
        <w:t xml:space="preserve">trategic planning, </w:t>
      </w:r>
      <w:r w:rsidR="00DF33FD">
        <w:rPr>
          <w:sz w:val="20"/>
          <w:szCs w:val="20"/>
        </w:rPr>
        <w:t>C</w:t>
      </w:r>
      <w:r w:rsidRPr="00FD01EC">
        <w:rPr>
          <w:sz w:val="20"/>
          <w:szCs w:val="20"/>
        </w:rPr>
        <w:t xml:space="preserve">ompetitiveness, </w:t>
      </w:r>
      <w:r w:rsidR="00DF33FD">
        <w:rPr>
          <w:sz w:val="20"/>
          <w:szCs w:val="20"/>
        </w:rPr>
        <w:t>S</w:t>
      </w:r>
      <w:r w:rsidR="00303B9E" w:rsidRPr="00FD01EC">
        <w:rPr>
          <w:sz w:val="20"/>
          <w:szCs w:val="20"/>
        </w:rPr>
        <w:t>ustainability</w:t>
      </w:r>
      <w:r w:rsidR="00402D3E" w:rsidRPr="00FD01EC">
        <w:rPr>
          <w:sz w:val="20"/>
          <w:szCs w:val="20"/>
        </w:rPr>
        <w:t xml:space="preserve">, </w:t>
      </w:r>
      <w:r w:rsidR="00DF33FD">
        <w:rPr>
          <w:sz w:val="20"/>
          <w:szCs w:val="20"/>
        </w:rPr>
        <w:t>I</w:t>
      </w:r>
      <w:r w:rsidRPr="00FD01EC">
        <w:rPr>
          <w:sz w:val="20"/>
          <w:szCs w:val="20"/>
        </w:rPr>
        <w:t xml:space="preserve">nnovation, </w:t>
      </w:r>
      <w:r w:rsidR="00DF33FD">
        <w:rPr>
          <w:sz w:val="20"/>
          <w:szCs w:val="20"/>
        </w:rPr>
        <w:t>E</w:t>
      </w:r>
      <w:bookmarkStart w:id="0" w:name="_GoBack"/>
      <w:bookmarkEnd w:id="0"/>
      <w:r w:rsidR="00402D3E" w:rsidRPr="00FD01EC">
        <w:rPr>
          <w:sz w:val="20"/>
          <w:szCs w:val="20"/>
        </w:rPr>
        <w:t>valuation</w:t>
      </w:r>
    </w:p>
    <w:p w14:paraId="041B6117" w14:textId="77777777" w:rsidR="00FD01EC" w:rsidRDefault="00FD01EC" w:rsidP="00FD01EC">
      <w:pPr>
        <w:spacing w:after="160" w:line="276" w:lineRule="auto"/>
        <w:rPr>
          <w:rFonts w:eastAsia="Times New Roman"/>
          <w:color w:val="222222"/>
          <w:lang w:eastAsia="pt-PT"/>
        </w:rPr>
        <w:sectPr w:rsidR="00FD01EC" w:rsidSect="005D2608">
          <w:headerReference w:type="default" r:id="rId8"/>
          <w:footerReference w:type="default" r:id="rId9"/>
          <w:pgSz w:w="11906" w:h="16838"/>
          <w:pgMar w:top="1417" w:right="1701" w:bottom="1417" w:left="1701" w:header="708" w:footer="708" w:gutter="0"/>
          <w:pgNumType w:start="7"/>
          <w:cols w:space="708"/>
          <w:docGrid w:linePitch="360"/>
        </w:sectPr>
      </w:pPr>
    </w:p>
    <w:p w14:paraId="57E93B5D" w14:textId="77777777" w:rsidR="00DE4E05" w:rsidRPr="00FD01EC" w:rsidRDefault="00DE4E05" w:rsidP="00FD01EC">
      <w:pPr>
        <w:pStyle w:val="Header1"/>
        <w:spacing w:line="276" w:lineRule="auto"/>
        <w:rPr>
          <w:sz w:val="20"/>
          <w:szCs w:val="20"/>
        </w:rPr>
      </w:pPr>
      <w:r w:rsidRPr="00FD01EC">
        <w:rPr>
          <w:sz w:val="20"/>
          <w:szCs w:val="20"/>
        </w:rPr>
        <w:t>Introduction</w:t>
      </w:r>
    </w:p>
    <w:p w14:paraId="29973448" w14:textId="3D97AC30" w:rsidR="003A1127" w:rsidRPr="00FD01EC" w:rsidRDefault="00DE4E05" w:rsidP="00FD01EC">
      <w:pPr>
        <w:pStyle w:val="ab"/>
        <w:spacing w:line="276" w:lineRule="auto"/>
        <w:rPr>
          <w:sz w:val="20"/>
          <w:szCs w:val="20"/>
          <w:lang w:eastAsia="pt-PT"/>
        </w:rPr>
      </w:pPr>
      <w:r w:rsidRPr="00FD01EC">
        <w:rPr>
          <w:rFonts w:eastAsia="KaiTi_GB2312"/>
          <w:sz w:val="20"/>
          <w:szCs w:val="20"/>
        </w:rPr>
        <w:t>The constant need to be ahead, aiming to achieve competitive advantage, is the fundamental reason that drives companies to be innovative.</w:t>
      </w:r>
      <w:r w:rsidR="003A1127" w:rsidRPr="00FD01EC">
        <w:rPr>
          <w:rFonts w:eastAsia="KaiTi_GB2312"/>
          <w:sz w:val="20"/>
          <w:szCs w:val="20"/>
        </w:rPr>
        <w:t xml:space="preserve"> </w:t>
      </w:r>
      <w:r w:rsidR="003A1127" w:rsidRPr="00FD01EC">
        <w:rPr>
          <w:sz w:val="20"/>
          <w:szCs w:val="20"/>
        </w:rPr>
        <w:t xml:space="preserve">With this purpose it is crucial to develop capabilities to foresee new business opportunities and to create market trends, which requires strategic vision, </w:t>
      </w:r>
      <w:proofErr w:type="gramStart"/>
      <w:r w:rsidR="003A1127" w:rsidRPr="00FD01EC">
        <w:rPr>
          <w:sz w:val="20"/>
          <w:szCs w:val="20"/>
        </w:rPr>
        <w:t>taking into account</w:t>
      </w:r>
      <w:proofErr w:type="gramEnd"/>
      <w:r w:rsidR="003A1127" w:rsidRPr="00FD01EC">
        <w:rPr>
          <w:sz w:val="20"/>
          <w:szCs w:val="20"/>
        </w:rPr>
        <w:t xml:space="preserve"> their resources’ limitations and potentialities (McManus</w:t>
      </w:r>
      <w:r w:rsidR="00ED6AAE" w:rsidRPr="00FD01EC">
        <w:rPr>
          <w:sz w:val="20"/>
          <w:szCs w:val="20"/>
        </w:rPr>
        <w:t xml:space="preserve"> et al</w:t>
      </w:r>
      <w:r w:rsidR="003A1127" w:rsidRPr="00FD01EC">
        <w:rPr>
          <w:sz w:val="20"/>
          <w:szCs w:val="20"/>
        </w:rPr>
        <w:t xml:space="preserve">, 2007). This attitude </w:t>
      </w:r>
      <w:proofErr w:type="gramStart"/>
      <w:r w:rsidR="003A1127" w:rsidRPr="00FD01EC">
        <w:rPr>
          <w:sz w:val="20"/>
          <w:szCs w:val="20"/>
        </w:rPr>
        <w:t>demand</w:t>
      </w:r>
      <w:proofErr w:type="gramEnd"/>
      <w:r w:rsidR="003A1127" w:rsidRPr="00FD01EC">
        <w:rPr>
          <w:sz w:val="20"/>
          <w:szCs w:val="20"/>
        </w:rPr>
        <w:t xml:space="preserve"> the ability to explore alternative strategies and the talent to lead/ manage resources to new projects (Hamel &amp; </w:t>
      </w:r>
      <w:proofErr w:type="spellStart"/>
      <w:r w:rsidR="003A1127" w:rsidRPr="00FD01EC">
        <w:rPr>
          <w:sz w:val="20"/>
          <w:szCs w:val="20"/>
        </w:rPr>
        <w:t>Valikangas</w:t>
      </w:r>
      <w:proofErr w:type="spellEnd"/>
      <w:r w:rsidR="003A1127" w:rsidRPr="00FD01EC">
        <w:rPr>
          <w:sz w:val="20"/>
          <w:szCs w:val="20"/>
        </w:rPr>
        <w:t>, 2003). In such a context, i</w:t>
      </w:r>
      <w:r w:rsidR="003A1127" w:rsidRPr="00FD01EC">
        <w:rPr>
          <w:sz w:val="20"/>
          <w:szCs w:val="20"/>
          <w:lang w:eastAsia="pt-PT"/>
        </w:rPr>
        <w:t xml:space="preserve">t is vital to define appropriate strategies to face </w:t>
      </w:r>
      <w:proofErr w:type="gramStart"/>
      <w:r w:rsidR="003A1127" w:rsidRPr="00FD01EC">
        <w:rPr>
          <w:sz w:val="20"/>
          <w:szCs w:val="20"/>
          <w:lang w:eastAsia="pt-PT"/>
        </w:rPr>
        <w:t>this challenges</w:t>
      </w:r>
      <w:proofErr w:type="gramEnd"/>
      <w:r w:rsidR="003A1127" w:rsidRPr="00FD01EC">
        <w:rPr>
          <w:sz w:val="20"/>
          <w:szCs w:val="20"/>
          <w:lang w:eastAsia="pt-PT"/>
        </w:rPr>
        <w:t xml:space="preserve"> and to do so, companies should integrate innovation </w:t>
      </w:r>
      <w:r w:rsidR="003A1127" w:rsidRPr="00FD01EC">
        <w:rPr>
          <w:sz w:val="20"/>
          <w:szCs w:val="20"/>
          <w:lang w:eastAsia="pt-PT"/>
        </w:rPr>
        <w:t>models into their strategic planning processes, allowing the evaluation of their current competitiveness and the appropriate definition of their business goals, operational targets and actions needed to achieve their objective</w:t>
      </w:r>
      <w:r w:rsidR="00AF6AF6" w:rsidRPr="00FD01EC">
        <w:rPr>
          <w:sz w:val="20"/>
          <w:szCs w:val="20"/>
          <w:lang w:eastAsia="pt-PT"/>
        </w:rPr>
        <w:t>s in a sustainable way.</w:t>
      </w:r>
    </w:p>
    <w:p w14:paraId="05CA24D8" w14:textId="77777777" w:rsidR="00DE4E05" w:rsidRPr="00FD01EC" w:rsidRDefault="00DE4E05" w:rsidP="00FD01EC">
      <w:pPr>
        <w:pStyle w:val="Header1"/>
        <w:spacing w:line="276" w:lineRule="auto"/>
        <w:rPr>
          <w:sz w:val="20"/>
          <w:szCs w:val="20"/>
        </w:rPr>
      </w:pPr>
      <w:r w:rsidRPr="00FD01EC">
        <w:rPr>
          <w:sz w:val="20"/>
          <w:szCs w:val="20"/>
        </w:rPr>
        <w:t>Problem Statement</w:t>
      </w:r>
    </w:p>
    <w:p w14:paraId="36F42AF7" w14:textId="377408A6" w:rsidR="003A1127" w:rsidRPr="00FD01EC" w:rsidRDefault="003A1127" w:rsidP="00FD01EC">
      <w:pPr>
        <w:pStyle w:val="ab"/>
        <w:spacing w:line="276" w:lineRule="auto"/>
        <w:rPr>
          <w:rStyle w:val="alt-edited"/>
          <w:sz w:val="20"/>
          <w:szCs w:val="20"/>
        </w:rPr>
      </w:pPr>
      <w:r w:rsidRPr="00FD01EC">
        <w:rPr>
          <w:sz w:val="20"/>
          <w:szCs w:val="20"/>
        </w:rPr>
        <w:t>N</w:t>
      </w:r>
      <w:r w:rsidRPr="00FD01EC">
        <w:rPr>
          <w:rStyle w:val="shorttext"/>
          <w:sz w:val="20"/>
          <w:szCs w:val="20"/>
        </w:rPr>
        <w:t>owadays</w:t>
      </w:r>
      <w:r w:rsidRPr="00FD01EC">
        <w:rPr>
          <w:sz w:val="20"/>
          <w:szCs w:val="20"/>
        </w:rPr>
        <w:t xml:space="preserve"> companies are more exposed to market changes and more vulnerable to customers’ demand and competitors’ </w:t>
      </w:r>
      <w:r w:rsidRPr="00FD01EC">
        <w:rPr>
          <w:rStyle w:val="shorttext"/>
          <w:sz w:val="20"/>
          <w:szCs w:val="20"/>
          <w:lang w:val="en"/>
        </w:rPr>
        <w:t>aggressiveness</w:t>
      </w:r>
      <w:r w:rsidRPr="00FD01EC">
        <w:rPr>
          <w:sz w:val="20"/>
          <w:szCs w:val="20"/>
        </w:rPr>
        <w:t xml:space="preserve">. This fact </w:t>
      </w:r>
      <w:proofErr w:type="gramStart"/>
      <w:r w:rsidRPr="00FD01EC">
        <w:rPr>
          <w:sz w:val="20"/>
          <w:szCs w:val="20"/>
        </w:rPr>
        <w:t>increase</w:t>
      </w:r>
      <w:proofErr w:type="gramEnd"/>
      <w:r w:rsidRPr="00FD01EC">
        <w:rPr>
          <w:sz w:val="20"/>
          <w:szCs w:val="20"/>
        </w:rPr>
        <w:t xml:space="preserve"> companies’ pressure to survive and to avoid bankruptcy or insolvency. According to </w:t>
      </w:r>
      <w:r w:rsidR="00844D90" w:rsidRPr="00FD01EC">
        <w:rPr>
          <w:sz w:val="20"/>
          <w:szCs w:val="20"/>
        </w:rPr>
        <w:t>(</w:t>
      </w:r>
      <w:proofErr w:type="spellStart"/>
      <w:r w:rsidRPr="00FD01EC">
        <w:rPr>
          <w:sz w:val="20"/>
          <w:szCs w:val="20"/>
        </w:rPr>
        <w:t>Gittleson</w:t>
      </w:r>
      <w:proofErr w:type="spellEnd"/>
      <w:r w:rsidRPr="00FD01EC">
        <w:rPr>
          <w:sz w:val="20"/>
          <w:szCs w:val="20"/>
        </w:rPr>
        <w:t xml:space="preserve">, 2012) </w:t>
      </w:r>
      <w:r w:rsidRPr="00FD01EC">
        <w:rPr>
          <w:i/>
          <w:sz w:val="20"/>
          <w:szCs w:val="20"/>
        </w:rPr>
        <w:t xml:space="preserve">“The average lifespan of a company listed in the S&amp;P </w:t>
      </w:r>
      <w:r w:rsidRPr="00FD01EC">
        <w:rPr>
          <w:i/>
          <w:sz w:val="20"/>
          <w:szCs w:val="20"/>
        </w:rPr>
        <w:lastRenderedPageBreak/>
        <w:t xml:space="preserve">500 index of leading US companies has decreased by more than 50 years in the last century, from 67 years in the 1920s to just 15 years today, according to Professor Richard Foster from Yale University, by 2020, more than three-quarters of the S&amp;P 500 will be companies that we have not heard of yet. </w:t>
      </w:r>
      <w:r w:rsidRPr="00FD01EC">
        <w:rPr>
          <w:sz w:val="20"/>
          <w:szCs w:val="20"/>
        </w:rPr>
        <w:t>Also Fortune 500 has a similar view about this issue, (</w:t>
      </w:r>
      <w:hyperlink r:id="rId10" w:tooltip="Posts by Mark J. Perry" w:history="1">
        <w:r w:rsidRPr="00FD01EC">
          <w:rPr>
            <w:sz w:val="20"/>
            <w:szCs w:val="20"/>
          </w:rPr>
          <w:t>Perry</w:t>
        </w:r>
      </w:hyperlink>
      <w:r w:rsidRPr="00FD01EC">
        <w:rPr>
          <w:sz w:val="20"/>
          <w:szCs w:val="20"/>
        </w:rPr>
        <w:t xml:space="preserve">, 2014) says that </w:t>
      </w:r>
      <w:r w:rsidRPr="00FD01EC">
        <w:rPr>
          <w:i/>
          <w:sz w:val="20"/>
          <w:szCs w:val="20"/>
        </w:rPr>
        <w:t>“almost 88% of the companies from 1955 till 2014 have either gone bankrupt, merged, or still exist but have fallen from the top Fortune 500 companies.”</w:t>
      </w:r>
      <w:r w:rsidRPr="00FD01EC">
        <w:rPr>
          <w:sz w:val="20"/>
          <w:szCs w:val="20"/>
        </w:rPr>
        <w:t xml:space="preserve"> Considering (</w:t>
      </w:r>
      <w:hyperlink r:id="rId11" w:history="1">
        <w:r w:rsidRPr="00FD01EC">
          <w:rPr>
            <w:sz w:val="20"/>
            <w:szCs w:val="20"/>
          </w:rPr>
          <w:t>Collins</w:t>
        </w:r>
      </w:hyperlink>
      <w:r w:rsidRPr="00FD01EC">
        <w:rPr>
          <w:sz w:val="20"/>
          <w:szCs w:val="20"/>
        </w:rPr>
        <w:t xml:space="preserve">, 2009) </w:t>
      </w:r>
      <w:r w:rsidRPr="00FD01EC">
        <w:rPr>
          <w:i/>
          <w:sz w:val="20"/>
          <w:szCs w:val="20"/>
        </w:rPr>
        <w:t>“Every institution, no matter how great, is vulnerable to decline. There is no law of nature that the most powerful will inevitably remain at the top. Anyone can fall and most eventually do”</w:t>
      </w:r>
      <w:r w:rsidRPr="00FD01EC">
        <w:rPr>
          <w:sz w:val="20"/>
          <w:szCs w:val="20"/>
        </w:rPr>
        <w:t>.</w:t>
      </w:r>
    </w:p>
    <w:p w14:paraId="50211DEC" w14:textId="77777777" w:rsidR="003A1127" w:rsidRPr="00FD01EC" w:rsidRDefault="003A1127" w:rsidP="00FD01EC">
      <w:pPr>
        <w:pStyle w:val="ab"/>
        <w:spacing w:line="276" w:lineRule="auto"/>
        <w:rPr>
          <w:sz w:val="20"/>
          <w:szCs w:val="20"/>
        </w:rPr>
      </w:pPr>
      <w:r w:rsidRPr="00FD01EC">
        <w:rPr>
          <w:rStyle w:val="alt-edited"/>
          <w:sz w:val="20"/>
          <w:szCs w:val="20"/>
        </w:rPr>
        <w:t xml:space="preserve">Indeed there are a relevant number of cases that are evidences of this reality, namely big companies from different economic sectors that never imagine could fall into bankruptcy, like WorldCom (2001), Enron (2001), Arthur Andersen (2002), Parmalat (2003), </w:t>
      </w:r>
      <w:proofErr w:type="spellStart"/>
      <w:r w:rsidRPr="00FD01EC">
        <w:rPr>
          <w:rStyle w:val="alt-edited"/>
          <w:sz w:val="20"/>
          <w:szCs w:val="20"/>
        </w:rPr>
        <w:t>Refco</w:t>
      </w:r>
      <w:proofErr w:type="spellEnd"/>
      <w:r w:rsidRPr="00FD01EC">
        <w:rPr>
          <w:rStyle w:val="alt-edited"/>
          <w:sz w:val="20"/>
          <w:szCs w:val="20"/>
        </w:rPr>
        <w:t xml:space="preserve"> (2005), </w:t>
      </w:r>
      <w:r w:rsidRPr="00FD01EC">
        <w:rPr>
          <w:sz w:val="20"/>
          <w:szCs w:val="20"/>
        </w:rPr>
        <w:t xml:space="preserve">Delta Air Lines (2005), </w:t>
      </w:r>
      <w:r w:rsidRPr="00FD01EC">
        <w:rPr>
          <w:rStyle w:val="alt-edited"/>
          <w:sz w:val="20"/>
          <w:szCs w:val="20"/>
        </w:rPr>
        <w:t>Lehman Brothers (2008)</w:t>
      </w:r>
      <w:r w:rsidRPr="00FD01EC">
        <w:rPr>
          <w:sz w:val="20"/>
          <w:szCs w:val="20"/>
        </w:rPr>
        <w:t xml:space="preserve">, General Motors (2009), </w:t>
      </w:r>
      <w:hyperlink r:id="rId12" w:history="1">
        <w:r w:rsidRPr="00FD01EC">
          <w:rPr>
            <w:sz w:val="20"/>
            <w:szCs w:val="20"/>
          </w:rPr>
          <w:t>Blockbuster</w:t>
        </w:r>
      </w:hyperlink>
      <w:r w:rsidRPr="00FD01EC">
        <w:rPr>
          <w:sz w:val="20"/>
          <w:szCs w:val="20"/>
        </w:rPr>
        <w:t xml:space="preserve"> (2010), </w:t>
      </w:r>
      <w:hyperlink r:id="rId13" w:history="1">
        <w:r w:rsidRPr="00FD01EC">
          <w:rPr>
            <w:sz w:val="20"/>
            <w:szCs w:val="20"/>
          </w:rPr>
          <w:t>Kodak</w:t>
        </w:r>
      </w:hyperlink>
      <w:r w:rsidRPr="00FD01EC">
        <w:rPr>
          <w:sz w:val="20"/>
          <w:szCs w:val="20"/>
        </w:rPr>
        <w:t xml:space="preserve"> (2012), among others.</w:t>
      </w:r>
    </w:p>
    <w:p w14:paraId="2185B88F" w14:textId="5802B645" w:rsidR="002E1A10" w:rsidRPr="00FD01EC" w:rsidRDefault="00570CD9" w:rsidP="00FD01EC">
      <w:pPr>
        <w:pStyle w:val="ab"/>
        <w:spacing w:line="276" w:lineRule="auto"/>
        <w:rPr>
          <w:sz w:val="20"/>
          <w:szCs w:val="20"/>
        </w:rPr>
      </w:pPr>
      <w:r w:rsidRPr="00FD01EC">
        <w:rPr>
          <w:sz w:val="20"/>
          <w:szCs w:val="20"/>
        </w:rPr>
        <w:t xml:space="preserve">To reduce the risk of bankruptcy </w:t>
      </w:r>
      <w:proofErr w:type="gramStart"/>
      <w:r w:rsidRPr="00FD01EC">
        <w:rPr>
          <w:sz w:val="20"/>
          <w:szCs w:val="20"/>
        </w:rPr>
        <w:t>companies</w:t>
      </w:r>
      <w:proofErr w:type="gramEnd"/>
      <w:r w:rsidRPr="00FD01EC">
        <w:rPr>
          <w:sz w:val="20"/>
          <w:szCs w:val="20"/>
        </w:rPr>
        <w:t xml:space="preserve"> need to be prepared to face changes and to gain competitive advantage. </w:t>
      </w:r>
      <w:r w:rsidR="00ED6AAE" w:rsidRPr="00FD01EC">
        <w:rPr>
          <w:sz w:val="20"/>
          <w:szCs w:val="20"/>
        </w:rPr>
        <w:t xml:space="preserve">Clayton </w:t>
      </w:r>
      <w:r w:rsidR="00B0545C" w:rsidRPr="00FD01EC">
        <w:rPr>
          <w:sz w:val="20"/>
          <w:szCs w:val="20"/>
        </w:rPr>
        <w:t xml:space="preserve">(1997) </w:t>
      </w:r>
      <w:r w:rsidRPr="00FD01EC">
        <w:rPr>
          <w:sz w:val="20"/>
          <w:szCs w:val="20"/>
        </w:rPr>
        <w:t xml:space="preserve">stated that </w:t>
      </w:r>
      <w:r w:rsidRPr="00FD01EC">
        <w:rPr>
          <w:i/>
          <w:sz w:val="20"/>
          <w:szCs w:val="20"/>
        </w:rPr>
        <w:t>“If you do what worked in the past, you will wake up one day and find that you’ve been passed by</w:t>
      </w:r>
      <w:proofErr w:type="gramStart"/>
      <w:r w:rsidRPr="00FD01EC">
        <w:rPr>
          <w:i/>
          <w:sz w:val="20"/>
          <w:szCs w:val="20"/>
        </w:rPr>
        <w:t>”</w:t>
      </w:r>
      <w:r w:rsidRPr="00FD01EC">
        <w:rPr>
          <w:sz w:val="20"/>
          <w:szCs w:val="20"/>
        </w:rPr>
        <w:t>, and</w:t>
      </w:r>
      <w:proofErr w:type="gramEnd"/>
      <w:r w:rsidRPr="00FD01EC">
        <w:rPr>
          <w:sz w:val="20"/>
          <w:szCs w:val="20"/>
        </w:rPr>
        <w:t xml:space="preserve"> </w:t>
      </w:r>
      <w:r w:rsidR="00AF6AF6" w:rsidRPr="00FD01EC">
        <w:rPr>
          <w:sz w:val="20"/>
          <w:szCs w:val="20"/>
        </w:rPr>
        <w:t>explained</w:t>
      </w:r>
      <w:r w:rsidRPr="00FD01EC">
        <w:rPr>
          <w:sz w:val="20"/>
          <w:szCs w:val="20"/>
        </w:rPr>
        <w:t xml:space="preserve"> how innovation can be an advantage.</w:t>
      </w:r>
      <w:r w:rsidR="00AF6AF6" w:rsidRPr="00FD01EC">
        <w:rPr>
          <w:sz w:val="20"/>
          <w:szCs w:val="20"/>
        </w:rPr>
        <w:t xml:space="preserve"> </w:t>
      </w:r>
      <w:r w:rsidRPr="00FD01EC">
        <w:rPr>
          <w:sz w:val="20"/>
          <w:szCs w:val="20"/>
        </w:rPr>
        <w:t>Also in</w:t>
      </w:r>
      <w:r w:rsidR="002E1A10" w:rsidRPr="00FD01EC">
        <w:rPr>
          <w:sz w:val="20"/>
          <w:szCs w:val="20"/>
        </w:rPr>
        <w:t xml:space="preserve"> </w:t>
      </w:r>
      <w:r w:rsidR="002E1A10" w:rsidRPr="00FD01EC">
        <w:rPr>
          <w:sz w:val="20"/>
          <w:szCs w:val="20"/>
        </w:rPr>
        <w:fldChar w:fldCharType="begin" w:fldLock="1"/>
      </w:r>
      <w:r w:rsidR="002E1A10" w:rsidRPr="00FD01EC">
        <w:rPr>
          <w:sz w:val="20"/>
          <w:szCs w:val="20"/>
        </w:rPr>
        <w:instrText>ADDIN CSL_CITATION { "citationItems" : [ { "id" : "ITEM-1", "itemData" : { "author" : [ { "dropping-particle" : "", "family" : "Lendel", "given" : "Viliam", "non-dropping-particle" : "", "parse-names" : false, "suffix" : "" }, { "dropping-particle" : "", "family" : "Varmus", "given" : "Michal", "non-dropping-particle" : "", "parse-names" : false, "suffix" : "" } ], "id" : "ITEM-1", "issued" : { "date-parts" : [ [ "2011" ] ] }, "page" : "819-826", "title" : "CREATION AND IMPLEMENTATION OF THE INNOVATION STRATEGY IN THE ENTERPRISE Empirical research - situation in Slovak companies", "type" : "article-journal" }, "uris" : [ "http://www.mendeley.com/documents/?uuid=109ba21d-bc23-4c55-9f6c-b9edaa8de934" ] } ], "mendeley" : { "formattedCitation" : "(Lendel &amp; Varmus, 2011)", "plainTextFormattedCitation" : "(Lendel &amp; Varmus, 2011)", "previouslyFormattedCitation" : "(Lendel &amp; Varmus, 2011)" }, "properties" : { "noteIndex" : 0 }, "schema" : "https://github.com/citation-style-language/schema/raw/master/csl-citation.json" }</w:instrText>
      </w:r>
      <w:r w:rsidR="002E1A10" w:rsidRPr="00FD01EC">
        <w:rPr>
          <w:sz w:val="20"/>
          <w:szCs w:val="20"/>
        </w:rPr>
        <w:fldChar w:fldCharType="separate"/>
      </w:r>
      <w:r w:rsidR="002E1A10" w:rsidRPr="00FD01EC">
        <w:rPr>
          <w:noProof/>
          <w:sz w:val="20"/>
          <w:szCs w:val="20"/>
        </w:rPr>
        <w:t>(Lendel &amp; Varmus, 2011)</w:t>
      </w:r>
      <w:r w:rsidR="002E1A10" w:rsidRPr="00FD01EC">
        <w:rPr>
          <w:sz w:val="20"/>
          <w:szCs w:val="20"/>
        </w:rPr>
        <w:fldChar w:fldCharType="end"/>
      </w:r>
      <w:r w:rsidR="002E1A10" w:rsidRPr="00FD01EC">
        <w:rPr>
          <w:sz w:val="20"/>
          <w:szCs w:val="20"/>
        </w:rPr>
        <w:t xml:space="preserve"> perspective </w:t>
      </w:r>
      <w:r w:rsidRPr="00FD01EC">
        <w:rPr>
          <w:i/>
          <w:sz w:val="20"/>
          <w:szCs w:val="20"/>
        </w:rPr>
        <w:t>“</w:t>
      </w:r>
      <w:r w:rsidR="002E1A10" w:rsidRPr="00FD01EC">
        <w:rPr>
          <w:i/>
          <w:sz w:val="20"/>
          <w:szCs w:val="20"/>
        </w:rPr>
        <w:t>the companies try to ensure their competitiveness through innovation. To be in the company conducted effective work with innovation is necessary to adopt and implement an innovation strategy”</w:t>
      </w:r>
      <w:r w:rsidR="002E1A10" w:rsidRPr="00FD01EC">
        <w:rPr>
          <w:sz w:val="20"/>
          <w:szCs w:val="20"/>
        </w:rPr>
        <w:t xml:space="preserve">. </w:t>
      </w:r>
    </w:p>
    <w:p w14:paraId="220606EA" w14:textId="36CA9D24" w:rsidR="006C5125" w:rsidRPr="00FD01EC" w:rsidRDefault="009D7DDD" w:rsidP="00FD01EC">
      <w:pPr>
        <w:pStyle w:val="ab"/>
        <w:spacing w:line="276" w:lineRule="auto"/>
        <w:rPr>
          <w:sz w:val="20"/>
          <w:szCs w:val="20"/>
        </w:rPr>
      </w:pPr>
      <w:r w:rsidRPr="00FD01EC">
        <w:rPr>
          <w:sz w:val="20"/>
          <w:szCs w:val="20"/>
        </w:rPr>
        <w:t xml:space="preserve">Following this line of thoughts, </w:t>
      </w:r>
      <w:r w:rsidR="006C5125" w:rsidRPr="00FD01EC">
        <w:rPr>
          <w:sz w:val="20"/>
          <w:szCs w:val="20"/>
        </w:rPr>
        <w:t>Drucker</w:t>
      </w:r>
      <w:r w:rsidR="00844D90" w:rsidRPr="00FD01EC">
        <w:rPr>
          <w:sz w:val="20"/>
          <w:szCs w:val="20"/>
        </w:rPr>
        <w:t xml:space="preserve"> </w:t>
      </w:r>
      <w:r w:rsidRPr="00FD01EC">
        <w:rPr>
          <w:sz w:val="20"/>
          <w:szCs w:val="20"/>
        </w:rPr>
        <w:t>(1985)</w:t>
      </w:r>
      <w:r w:rsidR="006C5125" w:rsidRPr="00FD01EC">
        <w:rPr>
          <w:sz w:val="20"/>
          <w:szCs w:val="20"/>
        </w:rPr>
        <w:t xml:space="preserve"> offered a systematic approach to the creative process by the introduction of the discipline of innovation </w:t>
      </w:r>
      <w:r w:rsidRPr="00FD01EC">
        <w:rPr>
          <w:sz w:val="20"/>
          <w:szCs w:val="20"/>
        </w:rPr>
        <w:t xml:space="preserve">and </w:t>
      </w:r>
      <w:r w:rsidR="006C5125" w:rsidRPr="00FD01EC">
        <w:rPr>
          <w:sz w:val="20"/>
          <w:szCs w:val="20"/>
        </w:rPr>
        <w:t>(</w:t>
      </w:r>
      <w:hyperlink r:id="rId14" w:anchor="bb0090" w:history="1">
        <w:r w:rsidR="00ED6AAE" w:rsidRPr="00FD01EC">
          <w:rPr>
            <w:sz w:val="20"/>
            <w:szCs w:val="20"/>
          </w:rPr>
          <w:t>Dibrell et al,</w:t>
        </w:r>
        <w:r w:rsidR="006C5125" w:rsidRPr="00FD01EC">
          <w:rPr>
            <w:sz w:val="20"/>
            <w:szCs w:val="20"/>
          </w:rPr>
          <w:t xml:space="preserve"> 2011b</w:t>
        </w:r>
      </w:hyperlink>
      <w:r w:rsidR="006C5125" w:rsidRPr="00FD01EC">
        <w:rPr>
          <w:sz w:val="20"/>
          <w:szCs w:val="20"/>
        </w:rPr>
        <w:t xml:space="preserve">) </w:t>
      </w:r>
      <w:r w:rsidR="00570CD9" w:rsidRPr="00FD01EC">
        <w:rPr>
          <w:sz w:val="20"/>
          <w:szCs w:val="20"/>
        </w:rPr>
        <w:t xml:space="preserve">introduce </w:t>
      </w:r>
      <w:r w:rsidR="00570CD9" w:rsidRPr="00FD01EC">
        <w:rPr>
          <w:sz w:val="20"/>
          <w:szCs w:val="20"/>
        </w:rPr>
        <w:t>the concept of</w:t>
      </w:r>
      <w:r w:rsidR="006C5125" w:rsidRPr="00FD01EC">
        <w:rPr>
          <w:sz w:val="20"/>
          <w:szCs w:val="20"/>
        </w:rPr>
        <w:t xml:space="preserve"> innovativeness, which means that firms’ emphasis their strategy on innovation.</w:t>
      </w:r>
    </w:p>
    <w:p w14:paraId="5C4404FD" w14:textId="15FB4BD1" w:rsidR="000455C2" w:rsidRPr="00FD01EC" w:rsidRDefault="003C0523" w:rsidP="00FD01EC">
      <w:pPr>
        <w:pStyle w:val="ab"/>
        <w:spacing w:line="276" w:lineRule="auto"/>
        <w:rPr>
          <w:rStyle w:val="aounit1"/>
          <w:color w:val="000000"/>
          <w:sz w:val="20"/>
          <w:szCs w:val="20"/>
        </w:rPr>
      </w:pPr>
      <w:r w:rsidRPr="00FD01EC">
        <w:rPr>
          <w:sz w:val="20"/>
          <w:szCs w:val="20"/>
        </w:rPr>
        <w:t>On other hand, new concepts like sustainability arise and may be of interest to be considered in the design of alternative models</w:t>
      </w:r>
      <w:r w:rsidR="000455C2" w:rsidRPr="00FD01EC">
        <w:rPr>
          <w:sz w:val="20"/>
          <w:szCs w:val="20"/>
        </w:rPr>
        <w:t xml:space="preserve">. In fact, sustainability can be based on the triple Bottom Line (3BL) principle </w:t>
      </w:r>
      <w:r w:rsidR="000455C2" w:rsidRPr="00FD01EC">
        <w:rPr>
          <w:sz w:val="20"/>
          <w:szCs w:val="20"/>
        </w:rPr>
        <w:fldChar w:fldCharType="begin" w:fldLock="1"/>
      </w:r>
      <w:r w:rsidR="000455C2" w:rsidRPr="00FD01EC">
        <w:rPr>
          <w:sz w:val="20"/>
          <w:szCs w:val="20"/>
        </w:rPr>
        <w:instrText>ADDIN CSL_CITATION { "citationItems" : [ { "id" : "ITEM-1", "itemData" : { "author" : [ { "dropping-particle" : "", "family" : "Norman", "given" : "Wayne", "non-dropping-particle" : "", "parse-names" : false, "suffix" : "" }, { "dropping-particle" : "", "family" : "Macdonald", "given" : "Chris", "non-dropping-particle" : "", "parse-names" : false, "suffix" : "" } ], "id" : "ITEM-1", "issued" : { "date-parts" : [ [ "2004" ] ] }, "page" : "243-262", "title" : "GETTING TO THE BOTTOM OF \"TRIPLE BOTTOM LINE\" Wayne Norman and Chris MacDonald", "type" : "article-journal", "volume" : "14" }, "uris" : [ "http://www.mendeley.com/documents/?uuid=a908f748-03b2-4a05-a81b-9ae531d5bdf8" ] } ], "mendeley" : { "formattedCitation" : "(Norman &amp; Macdonald, 2004)", "plainTextFormattedCitation" : "(Norman &amp; Macdonald, 2004)", "previouslyFormattedCitation" : "(Norman &amp; Macdonald, 2004)" }, "properties" : { "noteIndex" : 0 }, "schema" : "https://github.com/citation-style-language/schema/raw/master/csl-citation.json" }</w:instrText>
      </w:r>
      <w:r w:rsidR="000455C2" w:rsidRPr="00FD01EC">
        <w:rPr>
          <w:sz w:val="20"/>
          <w:szCs w:val="20"/>
        </w:rPr>
        <w:fldChar w:fldCharType="separate"/>
      </w:r>
      <w:r w:rsidR="000455C2" w:rsidRPr="00FD01EC">
        <w:rPr>
          <w:noProof/>
          <w:sz w:val="20"/>
          <w:szCs w:val="20"/>
        </w:rPr>
        <w:t>(Norman &amp; Macdonald, 2004)</w:t>
      </w:r>
      <w:r w:rsidR="000455C2" w:rsidRPr="00FD01EC">
        <w:rPr>
          <w:sz w:val="20"/>
          <w:szCs w:val="20"/>
        </w:rPr>
        <w:fldChar w:fldCharType="end"/>
      </w:r>
      <w:r w:rsidR="000455C2" w:rsidRPr="00FD01EC">
        <w:rPr>
          <w:sz w:val="20"/>
          <w:szCs w:val="20"/>
        </w:rPr>
        <w:t xml:space="preserve">, and according to this researcher </w:t>
      </w:r>
      <w:r w:rsidR="000455C2" w:rsidRPr="00FD01EC">
        <w:rPr>
          <w:i/>
          <w:sz w:val="20"/>
          <w:szCs w:val="20"/>
        </w:rPr>
        <w:t>“The idea behind the 3BL paradigm is that a corporation's ultimate success or health can and should be measured not just by the traditional financial bottom line, but also by its social/ethical and environmental performance”</w:t>
      </w:r>
      <w:r w:rsidR="000455C2" w:rsidRPr="00FD01EC">
        <w:rPr>
          <w:sz w:val="20"/>
          <w:szCs w:val="20"/>
        </w:rPr>
        <w:t xml:space="preserve">. </w:t>
      </w:r>
      <w:r w:rsidR="000455C2" w:rsidRPr="00FD01EC">
        <w:rPr>
          <w:rStyle w:val="aounit1"/>
          <w:color w:val="000000"/>
          <w:sz w:val="20"/>
          <w:szCs w:val="20"/>
        </w:rPr>
        <w:t xml:space="preserve">Following </w:t>
      </w:r>
      <w:r w:rsidR="00844D90" w:rsidRPr="00FD01EC">
        <w:rPr>
          <w:sz w:val="20"/>
          <w:szCs w:val="20"/>
        </w:rPr>
        <w:t>(</w:t>
      </w:r>
      <w:r w:rsidR="000455C2" w:rsidRPr="00FD01EC">
        <w:rPr>
          <w:sz w:val="20"/>
          <w:szCs w:val="20"/>
        </w:rPr>
        <w:t xml:space="preserve">Hubbard, 2009) </w:t>
      </w:r>
      <w:r w:rsidR="000455C2" w:rsidRPr="00FD01EC">
        <w:rPr>
          <w:i/>
          <w:sz w:val="20"/>
          <w:szCs w:val="20"/>
        </w:rPr>
        <w:t>“The TBL adds social and environmental measures of performance to the economic measures typically used in most organization”</w:t>
      </w:r>
      <w:r w:rsidR="000455C2" w:rsidRPr="00FD01EC">
        <w:rPr>
          <w:sz w:val="20"/>
          <w:szCs w:val="20"/>
        </w:rPr>
        <w:t>. I</w:t>
      </w:r>
      <w:r w:rsidR="000455C2" w:rsidRPr="00FD01EC">
        <w:rPr>
          <w:rStyle w:val="aounit1"/>
          <w:color w:val="000000"/>
          <w:sz w:val="20"/>
          <w:szCs w:val="20"/>
        </w:rPr>
        <w:t xml:space="preserve">t seems to make sense to use this principle to evaluate companies’ performance (results). </w:t>
      </w:r>
    </w:p>
    <w:p w14:paraId="388050C7" w14:textId="77777777" w:rsidR="002E1A10" w:rsidRPr="00FD01EC" w:rsidRDefault="00570CD9" w:rsidP="00FD01EC">
      <w:pPr>
        <w:pStyle w:val="ab"/>
        <w:spacing w:line="276" w:lineRule="auto"/>
        <w:rPr>
          <w:sz w:val="20"/>
          <w:szCs w:val="20"/>
        </w:rPr>
      </w:pPr>
      <w:r w:rsidRPr="00FD01EC">
        <w:rPr>
          <w:sz w:val="20"/>
          <w:szCs w:val="20"/>
        </w:rPr>
        <w:t xml:space="preserve">Considering the above, the aim of this research was to design a model to support companies on their strategic evaluation process, </w:t>
      </w:r>
      <w:proofErr w:type="gramStart"/>
      <w:r w:rsidRPr="00FD01EC">
        <w:rPr>
          <w:sz w:val="20"/>
          <w:szCs w:val="20"/>
        </w:rPr>
        <w:t>taking into account</w:t>
      </w:r>
      <w:proofErr w:type="gramEnd"/>
      <w:r w:rsidRPr="00FD01EC">
        <w:rPr>
          <w:sz w:val="20"/>
          <w:szCs w:val="20"/>
        </w:rPr>
        <w:t xml:space="preserve"> their current competitiveness based on their capability to be innovative and </w:t>
      </w:r>
      <w:r w:rsidR="000455C2" w:rsidRPr="00FD01EC">
        <w:rPr>
          <w:sz w:val="20"/>
          <w:szCs w:val="20"/>
        </w:rPr>
        <w:t>their capacity to increase their performance, measured through economic, social and environmental results (sustainability).</w:t>
      </w:r>
    </w:p>
    <w:p w14:paraId="13C73A1C" w14:textId="77777777" w:rsidR="00DE4E05" w:rsidRPr="00FD01EC" w:rsidRDefault="00DE4E05" w:rsidP="00FD01EC">
      <w:pPr>
        <w:pStyle w:val="Header1"/>
        <w:spacing w:line="276" w:lineRule="auto"/>
        <w:rPr>
          <w:sz w:val="20"/>
          <w:szCs w:val="20"/>
        </w:rPr>
      </w:pPr>
      <w:r w:rsidRPr="00FD01EC">
        <w:rPr>
          <w:sz w:val="20"/>
          <w:szCs w:val="20"/>
        </w:rPr>
        <w:t>Research Methodology</w:t>
      </w:r>
    </w:p>
    <w:p w14:paraId="29954375" w14:textId="77777777" w:rsidR="00DD2B9E" w:rsidRDefault="000455C2" w:rsidP="00FD01EC">
      <w:pPr>
        <w:pStyle w:val="ab"/>
        <w:spacing w:line="276" w:lineRule="auto"/>
        <w:rPr>
          <w:sz w:val="20"/>
          <w:szCs w:val="20"/>
          <w:lang w:val="en"/>
        </w:rPr>
      </w:pPr>
      <w:proofErr w:type="gramStart"/>
      <w:r w:rsidRPr="00FD01EC">
        <w:rPr>
          <w:sz w:val="20"/>
          <w:szCs w:val="20"/>
        </w:rPr>
        <w:t>Theref</w:t>
      </w:r>
      <w:r w:rsidR="00AF6AF6" w:rsidRPr="00FD01EC">
        <w:rPr>
          <w:sz w:val="20"/>
          <w:szCs w:val="20"/>
        </w:rPr>
        <w:t>ore</w:t>
      </w:r>
      <w:proofErr w:type="gramEnd"/>
      <w:r w:rsidR="00AF6AF6" w:rsidRPr="00FD01EC">
        <w:rPr>
          <w:sz w:val="20"/>
          <w:szCs w:val="20"/>
        </w:rPr>
        <w:t xml:space="preserve"> the research methodology applied was a deductive approach, once this method</w:t>
      </w:r>
      <w:r w:rsidR="003D0075" w:rsidRPr="00FD01EC">
        <w:rPr>
          <w:sz w:val="20"/>
          <w:szCs w:val="20"/>
        </w:rPr>
        <w:t xml:space="preserve"> assume empirical approaches to validate hypothesis and assumptions.</w:t>
      </w:r>
      <w:r w:rsidR="00AF6AF6" w:rsidRPr="00FD01EC">
        <w:rPr>
          <w:sz w:val="20"/>
          <w:szCs w:val="20"/>
        </w:rPr>
        <w:t xml:space="preserve"> </w:t>
      </w:r>
      <w:r w:rsidR="002C59D2" w:rsidRPr="00FD01EC">
        <w:rPr>
          <w:sz w:val="20"/>
          <w:szCs w:val="20"/>
        </w:rPr>
        <w:t>Beyond the literature review, which allowed the analysis of several strategic planning approaches and tools (e.g. PESTLE</w:t>
      </w:r>
      <w:r w:rsidR="002C59D2" w:rsidRPr="00FD01EC">
        <w:rPr>
          <w:rStyle w:val="a6"/>
          <w:sz w:val="20"/>
          <w:szCs w:val="20"/>
        </w:rPr>
        <w:footnoteReference w:id="3"/>
      </w:r>
      <w:r w:rsidR="002C59D2" w:rsidRPr="00FD01EC">
        <w:rPr>
          <w:sz w:val="20"/>
          <w:szCs w:val="20"/>
        </w:rPr>
        <w:t xml:space="preserve">, </w:t>
      </w:r>
      <w:r w:rsidR="0078208F" w:rsidRPr="00FD01EC">
        <w:rPr>
          <w:sz w:val="20"/>
          <w:szCs w:val="20"/>
        </w:rPr>
        <w:t>Balanced Scorecard,</w:t>
      </w:r>
      <w:r w:rsidR="002C59D2" w:rsidRPr="00FD01EC">
        <w:rPr>
          <w:sz w:val="20"/>
          <w:szCs w:val="20"/>
        </w:rPr>
        <w:t xml:space="preserve"> </w:t>
      </w:r>
      <w:r w:rsidR="00565C92" w:rsidRPr="00FD01EC">
        <w:rPr>
          <w:sz w:val="20"/>
          <w:szCs w:val="20"/>
        </w:rPr>
        <w:t>LARG</w:t>
      </w:r>
      <w:r w:rsidR="00565C92" w:rsidRPr="00FD01EC">
        <w:rPr>
          <w:rStyle w:val="a6"/>
          <w:sz w:val="20"/>
          <w:szCs w:val="20"/>
        </w:rPr>
        <w:footnoteReference w:id="4"/>
      </w:r>
      <w:r w:rsidR="00565C92" w:rsidRPr="00FD01EC">
        <w:rPr>
          <w:sz w:val="20"/>
          <w:szCs w:val="20"/>
        </w:rPr>
        <w:t xml:space="preserve">, </w:t>
      </w:r>
      <w:r w:rsidR="002C59D2" w:rsidRPr="00FD01EC">
        <w:rPr>
          <w:sz w:val="20"/>
          <w:szCs w:val="20"/>
        </w:rPr>
        <w:t>among others), the most worldwide recognized evaluation models and international standards (e.g. EFQM</w:t>
      </w:r>
      <w:r w:rsidR="002C59D2" w:rsidRPr="00FD01EC">
        <w:rPr>
          <w:rStyle w:val="a6"/>
          <w:sz w:val="20"/>
          <w:szCs w:val="20"/>
        </w:rPr>
        <w:footnoteReference w:id="5"/>
      </w:r>
      <w:r w:rsidR="002C59D2" w:rsidRPr="00FD01EC">
        <w:rPr>
          <w:sz w:val="20"/>
          <w:szCs w:val="20"/>
        </w:rPr>
        <w:t>, Shingo Prize, GRI</w:t>
      </w:r>
      <w:r w:rsidR="00565C92" w:rsidRPr="00FD01EC">
        <w:rPr>
          <w:sz w:val="20"/>
          <w:szCs w:val="20"/>
        </w:rPr>
        <w:t xml:space="preserve"> and </w:t>
      </w:r>
      <w:r w:rsidR="002C59D2" w:rsidRPr="00FD01EC">
        <w:rPr>
          <w:sz w:val="20"/>
          <w:szCs w:val="20"/>
        </w:rPr>
        <w:t>DJSI</w:t>
      </w:r>
      <w:r w:rsidR="002C59D2" w:rsidRPr="00FD01EC">
        <w:rPr>
          <w:rStyle w:val="a6"/>
          <w:sz w:val="20"/>
          <w:szCs w:val="20"/>
        </w:rPr>
        <w:footnoteReference w:id="6"/>
      </w:r>
      <w:r w:rsidR="0027270D" w:rsidRPr="00FD01EC">
        <w:rPr>
          <w:sz w:val="20"/>
          <w:szCs w:val="20"/>
        </w:rPr>
        <w:t>, IS0 9000</w:t>
      </w:r>
      <w:r w:rsidR="00ED6AAE" w:rsidRPr="00FD01EC">
        <w:rPr>
          <w:sz w:val="20"/>
          <w:szCs w:val="20"/>
        </w:rPr>
        <w:t xml:space="preserve"> (series)</w:t>
      </w:r>
      <w:r w:rsidR="0027270D" w:rsidRPr="00FD01EC">
        <w:rPr>
          <w:rStyle w:val="a6"/>
          <w:sz w:val="20"/>
          <w:szCs w:val="20"/>
        </w:rPr>
        <w:footnoteReference w:id="7"/>
      </w:r>
      <w:r w:rsidR="00ED6AAE" w:rsidRPr="00FD01EC">
        <w:rPr>
          <w:sz w:val="20"/>
          <w:szCs w:val="20"/>
        </w:rPr>
        <w:t>, 14001</w:t>
      </w:r>
      <w:r w:rsidR="0027270D" w:rsidRPr="00FD01EC">
        <w:rPr>
          <w:rStyle w:val="a6"/>
          <w:sz w:val="20"/>
          <w:szCs w:val="20"/>
        </w:rPr>
        <w:footnoteReference w:id="8"/>
      </w:r>
      <w:r w:rsidR="00ED6AAE" w:rsidRPr="00FD01EC">
        <w:rPr>
          <w:sz w:val="20"/>
          <w:szCs w:val="20"/>
        </w:rPr>
        <w:t>, 224</w:t>
      </w:r>
      <w:r w:rsidR="0027270D" w:rsidRPr="00FD01EC">
        <w:rPr>
          <w:sz w:val="20"/>
          <w:szCs w:val="20"/>
        </w:rPr>
        <w:t>00</w:t>
      </w:r>
      <w:r w:rsidR="0027270D" w:rsidRPr="00FD01EC">
        <w:rPr>
          <w:rStyle w:val="a6"/>
          <w:sz w:val="20"/>
          <w:szCs w:val="20"/>
        </w:rPr>
        <w:footnoteReference w:id="9"/>
      </w:r>
      <w:r w:rsidR="0027270D" w:rsidRPr="00FD01EC">
        <w:rPr>
          <w:sz w:val="20"/>
          <w:szCs w:val="20"/>
        </w:rPr>
        <w:t>, ISO 26000</w:t>
      </w:r>
      <w:r w:rsidR="0027270D" w:rsidRPr="00FD01EC">
        <w:rPr>
          <w:rStyle w:val="a6"/>
          <w:sz w:val="20"/>
          <w:szCs w:val="20"/>
        </w:rPr>
        <w:footnoteReference w:id="10"/>
      </w:r>
      <w:r w:rsidR="00503933" w:rsidRPr="00FD01EC">
        <w:rPr>
          <w:sz w:val="20"/>
          <w:szCs w:val="20"/>
        </w:rPr>
        <w:t>, ISO 45001</w:t>
      </w:r>
      <w:r w:rsidR="0027270D" w:rsidRPr="00FD01EC">
        <w:rPr>
          <w:rStyle w:val="a6"/>
          <w:sz w:val="20"/>
          <w:szCs w:val="20"/>
        </w:rPr>
        <w:footnoteReference w:id="11"/>
      </w:r>
      <w:r w:rsidR="0027270D" w:rsidRPr="00FD01EC">
        <w:rPr>
          <w:sz w:val="20"/>
          <w:szCs w:val="20"/>
        </w:rPr>
        <w:t>, ITIL</w:t>
      </w:r>
      <w:r w:rsidR="0027270D" w:rsidRPr="00FD01EC">
        <w:rPr>
          <w:rStyle w:val="a6"/>
          <w:sz w:val="20"/>
          <w:szCs w:val="20"/>
        </w:rPr>
        <w:footnoteReference w:id="12"/>
      </w:r>
      <w:r w:rsidR="0078208F" w:rsidRPr="00FD01EC">
        <w:rPr>
          <w:sz w:val="20"/>
          <w:szCs w:val="20"/>
        </w:rPr>
        <w:t>)</w:t>
      </w:r>
      <w:r w:rsidR="002C59D2" w:rsidRPr="00FD01EC">
        <w:rPr>
          <w:sz w:val="20"/>
          <w:szCs w:val="20"/>
        </w:rPr>
        <w:t xml:space="preserve">; </w:t>
      </w:r>
      <w:r w:rsidR="00AF6AF6" w:rsidRPr="00FD01EC">
        <w:rPr>
          <w:sz w:val="20"/>
          <w:szCs w:val="20"/>
        </w:rPr>
        <w:t xml:space="preserve">there </w:t>
      </w:r>
      <w:r w:rsidR="003D0075" w:rsidRPr="00FD01EC">
        <w:rPr>
          <w:sz w:val="20"/>
          <w:szCs w:val="20"/>
        </w:rPr>
        <w:t xml:space="preserve">were involved </w:t>
      </w:r>
      <w:r w:rsidR="0078208F" w:rsidRPr="00FD01EC">
        <w:rPr>
          <w:sz w:val="20"/>
          <w:szCs w:val="20"/>
        </w:rPr>
        <w:t xml:space="preserve">18 experts to obtain </w:t>
      </w:r>
      <w:r w:rsidR="003D0075" w:rsidRPr="00FD01EC">
        <w:rPr>
          <w:sz w:val="20"/>
          <w:szCs w:val="20"/>
        </w:rPr>
        <w:t xml:space="preserve">feedback and validations about </w:t>
      </w:r>
      <w:r w:rsidR="002C59D2" w:rsidRPr="00FD01EC">
        <w:rPr>
          <w:sz w:val="20"/>
          <w:szCs w:val="20"/>
          <w:lang w:val="en"/>
        </w:rPr>
        <w:t xml:space="preserve">the model’s components and </w:t>
      </w:r>
    </w:p>
    <w:p w14:paraId="6A68BA57" w14:textId="77777777" w:rsidR="00DD2B9E" w:rsidRDefault="00DD2B9E" w:rsidP="00FD01EC">
      <w:pPr>
        <w:pStyle w:val="ab"/>
        <w:spacing w:line="276" w:lineRule="auto"/>
        <w:rPr>
          <w:sz w:val="20"/>
          <w:szCs w:val="20"/>
          <w:lang w:val="en"/>
        </w:rPr>
        <w:sectPr w:rsidR="00DD2B9E" w:rsidSect="00FD01EC">
          <w:type w:val="continuous"/>
          <w:pgSz w:w="11906" w:h="16838"/>
          <w:pgMar w:top="1417" w:right="1701" w:bottom="1417" w:left="1701" w:header="708" w:footer="708" w:gutter="0"/>
          <w:cols w:num="2" w:space="708"/>
          <w:docGrid w:linePitch="360"/>
        </w:sect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DD2B9E" w14:paraId="22354E5C" w14:textId="77777777" w:rsidTr="00DD2B9E">
        <w:tc>
          <w:tcPr>
            <w:tcW w:w="4247" w:type="dxa"/>
          </w:tcPr>
          <w:p w14:paraId="510AA28D" w14:textId="77777777" w:rsidR="00DD2B9E" w:rsidRPr="00FD01EC" w:rsidRDefault="00DD2B9E" w:rsidP="00DD2B9E">
            <w:pPr>
              <w:pStyle w:val="ab"/>
              <w:spacing w:line="276" w:lineRule="auto"/>
              <w:ind w:rightChars="100" w:right="200"/>
              <w:rPr>
                <w:sz w:val="20"/>
                <w:szCs w:val="20"/>
                <w:lang w:val="en"/>
              </w:rPr>
            </w:pPr>
            <w:r w:rsidRPr="00FD01EC">
              <w:rPr>
                <w:sz w:val="20"/>
                <w:szCs w:val="20"/>
                <w:lang w:val="en"/>
              </w:rPr>
              <w:lastRenderedPageBreak/>
              <w:t>indicators, through questionnaires and workshops.</w:t>
            </w:r>
          </w:p>
          <w:p w14:paraId="1B50E0BB" w14:textId="77777777" w:rsidR="00DD2B9E" w:rsidRDefault="00DD2B9E" w:rsidP="00DD2B9E">
            <w:pPr>
              <w:pStyle w:val="ab"/>
              <w:spacing w:line="276" w:lineRule="auto"/>
              <w:ind w:rightChars="100" w:right="200"/>
              <w:rPr>
                <w:sz w:val="20"/>
                <w:szCs w:val="20"/>
              </w:rPr>
            </w:pPr>
            <w:r w:rsidRPr="00FD01EC">
              <w:rPr>
                <w:sz w:val="20"/>
                <w:szCs w:val="20"/>
                <w:lang w:val="en"/>
              </w:rPr>
              <w:t xml:space="preserve">There was a concern to select experts according to appropriate profiles to assure their suitability to reach the research objectives. Therefore, four selection criteria were established, namely: Overall business experience and vision; Years of professional experience; Current role and professional </w:t>
            </w:r>
            <w:r w:rsidRPr="00FD01EC">
              <w:rPr>
                <w:rStyle w:val="alt-edited"/>
                <w:sz w:val="20"/>
                <w:szCs w:val="20"/>
                <w:lang w:val="en"/>
              </w:rPr>
              <w:t xml:space="preserve">career; and </w:t>
            </w:r>
            <w:r w:rsidRPr="00FD01EC">
              <w:rPr>
                <w:sz w:val="20"/>
                <w:szCs w:val="20"/>
                <w:lang w:val="en"/>
              </w:rPr>
              <w:t>Specific skills related to the research filed. The pool of experts considered h</w:t>
            </w:r>
            <w:r w:rsidRPr="00FD01EC">
              <w:rPr>
                <w:sz w:val="20"/>
                <w:szCs w:val="20"/>
              </w:rPr>
              <w:t>ad an average age of 51 years old (minimum of 38 and maximum of 66 years) and more than 485 accumulated years of experience (minimum of 15 and maximum of 41 years), covering all critical business dimensions and relevant components pre-defined at the research scope, due to their careers in management, quality, monitoring, innovation, sustainability, manufacturing and logistics and in technology.</w:t>
            </w:r>
          </w:p>
          <w:p w14:paraId="262BE15E" w14:textId="77777777" w:rsidR="00DD2B9E" w:rsidRPr="00DD2B9E" w:rsidRDefault="00DD2B9E" w:rsidP="00DD2B9E">
            <w:pPr>
              <w:pStyle w:val="Header1"/>
              <w:rPr>
                <w:sz w:val="20"/>
                <w:szCs w:val="20"/>
              </w:rPr>
            </w:pPr>
            <w:r w:rsidRPr="00DD2B9E">
              <w:rPr>
                <w:sz w:val="20"/>
                <w:szCs w:val="20"/>
              </w:rPr>
              <w:t>The Sustainable Competitiveness Evaluation model – innovation based</w:t>
            </w:r>
          </w:p>
          <w:p w14:paraId="5D1535B2" w14:textId="7C719E4C" w:rsidR="00DD2B9E" w:rsidRDefault="00DD2B9E" w:rsidP="00DD2B9E">
            <w:pPr>
              <w:pStyle w:val="ab"/>
              <w:spacing w:line="276" w:lineRule="auto"/>
              <w:ind w:rightChars="100" w:right="200"/>
              <w:rPr>
                <w:sz w:val="20"/>
                <w:szCs w:val="20"/>
                <w:lang w:val="en"/>
              </w:rPr>
            </w:pPr>
            <w:r w:rsidRPr="009E00B0">
              <w:rPr>
                <w:sz w:val="20"/>
                <w:szCs w:val="20"/>
              </w:rPr>
              <w:t>The present research enabled the design of a</w:t>
            </w:r>
          </w:p>
        </w:tc>
        <w:tc>
          <w:tcPr>
            <w:tcW w:w="4247" w:type="dxa"/>
          </w:tcPr>
          <w:p w14:paraId="5987FCB2" w14:textId="134F320B" w:rsidR="00DD2B9E" w:rsidRDefault="00DD2B9E" w:rsidP="00DD2B9E">
            <w:pPr>
              <w:pStyle w:val="ab"/>
              <w:spacing w:line="276" w:lineRule="auto"/>
              <w:ind w:leftChars="100" w:left="200"/>
              <w:rPr>
                <w:sz w:val="20"/>
                <w:szCs w:val="20"/>
              </w:rPr>
            </w:pPr>
            <w:proofErr w:type="gramStart"/>
            <w:r w:rsidRPr="009E00B0">
              <w:rPr>
                <w:sz w:val="20"/>
                <w:szCs w:val="20"/>
              </w:rPr>
              <w:t>sustainable competitiveness evaluation model,</w:t>
            </w:r>
            <w:proofErr w:type="gramEnd"/>
            <w:r w:rsidRPr="009E00B0">
              <w:rPr>
                <w:sz w:val="20"/>
                <w:szCs w:val="20"/>
              </w:rPr>
              <w:t xml:space="preserve"> based on innovation dimension. The model assume that companies should evaluate two components to be able to define more reliable strategic goals and targets to reinforce and achieve continuously competitive advantage, through innovation, in concrete:</w:t>
            </w:r>
          </w:p>
          <w:p w14:paraId="6FCC143E" w14:textId="77777777" w:rsidR="00DD2B9E" w:rsidRPr="00DD2B9E" w:rsidRDefault="00DD2B9E" w:rsidP="00DD2B9E">
            <w:pPr>
              <w:pStyle w:val="ab"/>
              <w:numPr>
                <w:ilvl w:val="0"/>
                <w:numId w:val="8"/>
              </w:numPr>
              <w:spacing w:line="276" w:lineRule="auto"/>
              <w:ind w:leftChars="100" w:left="680"/>
              <w:rPr>
                <w:sz w:val="20"/>
                <w:szCs w:val="20"/>
                <w:lang w:val="en"/>
              </w:rPr>
            </w:pPr>
            <w:r w:rsidRPr="009E00B0">
              <w:rPr>
                <w:sz w:val="20"/>
                <w:szCs w:val="20"/>
              </w:rPr>
              <w:t xml:space="preserve">Their resources or ability to manage them, </w:t>
            </w:r>
            <w:proofErr w:type="gramStart"/>
            <w:r w:rsidRPr="009E00B0">
              <w:rPr>
                <w:sz w:val="20"/>
                <w:szCs w:val="20"/>
              </w:rPr>
              <w:t>in order to</w:t>
            </w:r>
            <w:proofErr w:type="gramEnd"/>
            <w:r w:rsidRPr="009E00B0">
              <w:rPr>
                <w:sz w:val="20"/>
                <w:szCs w:val="20"/>
              </w:rPr>
              <w:t xml:space="preserve"> be systematically innovative (focused on the company’s innovation efficiency); and</w:t>
            </w:r>
          </w:p>
          <w:p w14:paraId="0DAA6BD1" w14:textId="77777777" w:rsidR="00DD2B9E" w:rsidRPr="00DD2B9E" w:rsidRDefault="00DD2B9E" w:rsidP="00DD2B9E">
            <w:pPr>
              <w:pStyle w:val="ab"/>
              <w:numPr>
                <w:ilvl w:val="0"/>
                <w:numId w:val="8"/>
              </w:numPr>
              <w:spacing w:line="276" w:lineRule="auto"/>
              <w:ind w:leftChars="100" w:left="680"/>
              <w:rPr>
                <w:sz w:val="20"/>
                <w:szCs w:val="20"/>
                <w:lang w:val="en"/>
              </w:rPr>
            </w:pPr>
            <w:r w:rsidRPr="009E00B0">
              <w:rPr>
                <w:sz w:val="20"/>
                <w:szCs w:val="20"/>
              </w:rPr>
              <w:t xml:space="preserve">If they are an innovative company (focused on the company’s innovation impact or results, which means their innovation effectiveness). </w:t>
            </w:r>
          </w:p>
          <w:p w14:paraId="11B9DBE3" w14:textId="60328879" w:rsidR="00DD2B9E" w:rsidRDefault="00DD2B9E" w:rsidP="00DD2B9E">
            <w:pPr>
              <w:pStyle w:val="ab"/>
              <w:spacing w:line="276" w:lineRule="auto"/>
              <w:ind w:leftChars="100" w:left="200"/>
              <w:rPr>
                <w:sz w:val="20"/>
                <w:szCs w:val="20"/>
                <w:lang w:val="en"/>
              </w:rPr>
            </w:pPr>
            <w:r w:rsidRPr="009E00B0">
              <w:rPr>
                <w:sz w:val="20"/>
                <w:szCs w:val="20"/>
              </w:rPr>
              <w:t xml:space="preserve">According to the </w:t>
            </w:r>
            <w:proofErr w:type="gramStart"/>
            <w:r w:rsidRPr="009E00B0">
              <w:rPr>
                <w:sz w:val="20"/>
                <w:szCs w:val="20"/>
              </w:rPr>
              <w:t>above, and</w:t>
            </w:r>
            <w:proofErr w:type="gramEnd"/>
            <w:r w:rsidRPr="009E00B0">
              <w:rPr>
                <w:sz w:val="20"/>
                <w:szCs w:val="20"/>
              </w:rPr>
              <w:t xml:space="preserve"> taking into account the “Innovation S – Curve” or the innovation lifecycle framework of (</w:t>
            </w:r>
            <w:proofErr w:type="spellStart"/>
            <w:r w:rsidRPr="009E00B0">
              <w:rPr>
                <w:sz w:val="20"/>
                <w:szCs w:val="20"/>
              </w:rPr>
              <w:t>Dismukes</w:t>
            </w:r>
            <w:proofErr w:type="spellEnd"/>
            <w:r w:rsidRPr="009E00B0">
              <w:rPr>
                <w:sz w:val="20"/>
                <w:szCs w:val="20"/>
              </w:rPr>
              <w:t xml:space="preserve"> et al, 2012) it is possible to establish a relation between innovation resources management and innovation performance (Figure 1).</w:t>
            </w:r>
          </w:p>
        </w:tc>
      </w:tr>
    </w:tbl>
    <w:p w14:paraId="743E28F9" w14:textId="1107EB10" w:rsidR="00DD2B9E" w:rsidRDefault="00DD2B9E" w:rsidP="00FD01EC">
      <w:pPr>
        <w:pStyle w:val="ab"/>
        <w:spacing w:line="276" w:lineRule="auto"/>
        <w:rPr>
          <w:sz w:val="20"/>
          <w:szCs w:val="20"/>
          <w:lang w:val="en"/>
        </w:rPr>
        <w:sectPr w:rsidR="00DD2B9E" w:rsidSect="00DD2B9E">
          <w:type w:val="continuous"/>
          <w:pgSz w:w="11906" w:h="16838"/>
          <w:pgMar w:top="1417" w:right="1701" w:bottom="1417" w:left="1701" w:header="708" w:footer="708" w:gutter="0"/>
          <w:cols w:space="708"/>
          <w:docGrid w:linePitch="360"/>
        </w:sectPr>
      </w:pPr>
      <w:r w:rsidRPr="00FD01EC">
        <w:rPr>
          <w:noProof/>
          <w:sz w:val="20"/>
          <w:szCs w:val="20"/>
          <w:lang w:val="pt-PT" w:eastAsia="pt-PT"/>
        </w:rPr>
        <w:drawing>
          <wp:anchor distT="0" distB="0" distL="114300" distR="114300" simplePos="0" relativeHeight="251659264" behindDoc="0" locked="0" layoutInCell="1" allowOverlap="1" wp14:anchorId="1CFF0969" wp14:editId="7C59606D">
            <wp:simplePos x="0" y="0"/>
            <wp:positionH relativeFrom="margin">
              <wp:posOffset>633095</wp:posOffset>
            </wp:positionH>
            <wp:positionV relativeFrom="paragraph">
              <wp:posOffset>219166</wp:posOffset>
            </wp:positionV>
            <wp:extent cx="4134783" cy="1981847"/>
            <wp:effectExtent l="0" t="0" r="0" b="0"/>
            <wp:wrapTopAndBottom/>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36927"/>
                    <a:stretch/>
                  </pic:blipFill>
                  <pic:spPr bwMode="auto">
                    <a:xfrm>
                      <a:off x="0" y="0"/>
                      <a:ext cx="4134783" cy="198184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2B5ED4C" w14:textId="3D0FCD5B" w:rsidR="00FD01EC" w:rsidRPr="00FD01EC" w:rsidRDefault="00FD01EC" w:rsidP="00FD01EC">
      <w:pPr>
        <w:pStyle w:val="ab"/>
        <w:spacing w:line="276" w:lineRule="auto"/>
        <w:rPr>
          <w:sz w:val="20"/>
          <w:szCs w:val="20"/>
        </w:rPr>
        <w:sectPr w:rsidR="00FD01EC" w:rsidRPr="00FD01EC" w:rsidSect="00FD01EC">
          <w:type w:val="continuous"/>
          <w:pgSz w:w="11906" w:h="16838"/>
          <w:pgMar w:top="1417" w:right="1701" w:bottom="1417" w:left="1701" w:header="708" w:footer="708" w:gutter="0"/>
          <w:cols w:num="2" w:space="708"/>
          <w:docGrid w:linePitch="360"/>
        </w:sectPr>
      </w:pPr>
    </w:p>
    <w:p w14:paraId="7F4F5676" w14:textId="52152A63" w:rsidR="009E00B0" w:rsidRDefault="009E00B0" w:rsidP="00FD01EC">
      <w:pPr>
        <w:pStyle w:val="ab"/>
        <w:spacing w:line="276" w:lineRule="auto"/>
        <w:sectPr w:rsidR="009E00B0" w:rsidSect="009E00B0">
          <w:type w:val="continuous"/>
          <w:pgSz w:w="11906" w:h="16838"/>
          <w:pgMar w:top="1417" w:right="1701" w:bottom="1417" w:left="1701" w:header="708" w:footer="708" w:gutter="0"/>
          <w:cols w:num="2" w:space="708"/>
          <w:docGrid w:linePitch="360"/>
        </w:sectPr>
      </w:pPr>
    </w:p>
    <w:p w14:paraId="1DDE9171" w14:textId="799B512C" w:rsidR="003F67FB" w:rsidRPr="009E00B0" w:rsidRDefault="00333E7C" w:rsidP="009E00B0">
      <w:pPr>
        <w:pStyle w:val="ab"/>
        <w:spacing w:line="276" w:lineRule="auto"/>
        <w:jc w:val="center"/>
        <w:rPr>
          <w:sz w:val="20"/>
        </w:rPr>
      </w:pPr>
      <w:r w:rsidRPr="009E00B0">
        <w:rPr>
          <w:b/>
          <w:sz w:val="20"/>
        </w:rPr>
        <w:t>Figure 1</w:t>
      </w:r>
      <w:r w:rsidRPr="009E00B0">
        <w:rPr>
          <w:sz w:val="20"/>
        </w:rPr>
        <w:t xml:space="preserve"> – Innovation Triangle</w:t>
      </w:r>
    </w:p>
    <w:p w14:paraId="2637FC9A" w14:textId="77777777" w:rsidR="009E00B0" w:rsidRDefault="009E00B0" w:rsidP="009E00B0">
      <w:pPr>
        <w:pStyle w:val="ab"/>
        <w:spacing w:line="276" w:lineRule="auto"/>
        <w:rPr>
          <w:rFonts w:eastAsia="Times New Roman"/>
          <w:sz w:val="20"/>
          <w:szCs w:val="20"/>
        </w:rPr>
        <w:sectPr w:rsidR="009E00B0" w:rsidSect="00FD01EC">
          <w:type w:val="continuous"/>
          <w:pgSz w:w="11906" w:h="16838"/>
          <w:pgMar w:top="1417" w:right="1701" w:bottom="1417" w:left="1701" w:header="708" w:footer="708" w:gutter="0"/>
          <w:cols w:space="708"/>
          <w:docGrid w:linePitch="360"/>
        </w:sectPr>
      </w:pPr>
    </w:p>
    <w:p w14:paraId="4E75E2F3" w14:textId="5734F8C2" w:rsidR="00C751FA" w:rsidRPr="009E00B0" w:rsidRDefault="00333E7C" w:rsidP="009E00B0">
      <w:pPr>
        <w:pStyle w:val="ab"/>
        <w:spacing w:line="276" w:lineRule="auto"/>
        <w:rPr>
          <w:rFonts w:eastAsia="Times New Roman"/>
          <w:sz w:val="20"/>
          <w:szCs w:val="20"/>
        </w:rPr>
      </w:pPr>
      <w:r w:rsidRPr="009E00B0">
        <w:rPr>
          <w:rFonts w:eastAsia="Times New Roman"/>
          <w:sz w:val="20"/>
          <w:szCs w:val="20"/>
        </w:rPr>
        <w:t xml:space="preserve">The Innovation Triangle </w:t>
      </w:r>
      <w:r w:rsidR="00174328" w:rsidRPr="009E00B0">
        <w:rPr>
          <w:rFonts w:eastAsia="Times New Roman"/>
          <w:sz w:val="20"/>
          <w:szCs w:val="20"/>
        </w:rPr>
        <w:t>assume</w:t>
      </w:r>
      <w:r w:rsidRPr="009E00B0">
        <w:rPr>
          <w:rFonts w:eastAsia="Times New Roman"/>
          <w:sz w:val="20"/>
          <w:szCs w:val="20"/>
        </w:rPr>
        <w:t xml:space="preserve"> two parameters that </w:t>
      </w:r>
      <w:r w:rsidR="00174328" w:rsidRPr="009E00B0">
        <w:rPr>
          <w:rFonts w:eastAsia="Times New Roman"/>
          <w:sz w:val="20"/>
          <w:szCs w:val="20"/>
        </w:rPr>
        <w:t>define innovation</w:t>
      </w:r>
      <w:r w:rsidR="004D59A0" w:rsidRPr="009E00B0">
        <w:rPr>
          <w:rFonts w:eastAsia="Times New Roman"/>
          <w:sz w:val="20"/>
          <w:szCs w:val="20"/>
        </w:rPr>
        <w:t xml:space="preserve"> dimension</w:t>
      </w:r>
      <w:r w:rsidR="00174328" w:rsidRPr="009E00B0">
        <w:rPr>
          <w:rFonts w:eastAsia="Times New Roman"/>
          <w:sz w:val="20"/>
          <w:szCs w:val="20"/>
        </w:rPr>
        <w:t xml:space="preserve">, which depend on time and have impact on performance (innovation indicators </w:t>
      </w:r>
      <w:r w:rsidR="005A2470" w:rsidRPr="009E00B0">
        <w:rPr>
          <w:rFonts w:eastAsia="Times New Roman"/>
          <w:sz w:val="20"/>
          <w:szCs w:val="20"/>
        </w:rPr>
        <w:t>allow</w:t>
      </w:r>
      <w:r w:rsidR="00174328" w:rsidRPr="009E00B0">
        <w:rPr>
          <w:rFonts w:eastAsia="Times New Roman"/>
          <w:sz w:val="20"/>
          <w:szCs w:val="20"/>
        </w:rPr>
        <w:t xml:space="preserve"> to express innovation results in terms of economic, social and environmental values), namely:</w:t>
      </w:r>
    </w:p>
    <w:p w14:paraId="1B9051AE" w14:textId="77777777" w:rsidR="00C751FA" w:rsidRPr="009E00B0" w:rsidRDefault="00C751FA" w:rsidP="009E00B0">
      <w:pPr>
        <w:pStyle w:val="ab"/>
        <w:numPr>
          <w:ilvl w:val="0"/>
          <w:numId w:val="5"/>
        </w:numPr>
        <w:spacing w:line="276" w:lineRule="auto"/>
        <w:rPr>
          <w:rFonts w:eastAsia="Times New Roman"/>
          <w:sz w:val="20"/>
          <w:szCs w:val="20"/>
        </w:rPr>
      </w:pPr>
      <w:r w:rsidRPr="009E00B0">
        <w:rPr>
          <w:rFonts w:eastAsia="Times New Roman"/>
          <w:sz w:val="20"/>
          <w:szCs w:val="20"/>
        </w:rPr>
        <w:t>Intensity</w:t>
      </w:r>
      <w:r w:rsidR="00174328" w:rsidRPr="009E00B0">
        <w:rPr>
          <w:rFonts w:eastAsia="Times New Roman"/>
          <w:sz w:val="20"/>
          <w:szCs w:val="20"/>
        </w:rPr>
        <w:t xml:space="preserve"> Enabling – </w:t>
      </w:r>
      <w:r w:rsidR="005A2470" w:rsidRPr="009E00B0">
        <w:rPr>
          <w:rFonts w:eastAsia="Times New Roman"/>
          <w:sz w:val="20"/>
          <w:szCs w:val="20"/>
        </w:rPr>
        <w:t xml:space="preserve">which </w:t>
      </w:r>
      <w:r w:rsidRPr="009E00B0">
        <w:rPr>
          <w:rFonts w:eastAsia="Times New Roman"/>
          <w:sz w:val="20"/>
          <w:szCs w:val="20"/>
        </w:rPr>
        <w:t xml:space="preserve">measures the </w:t>
      </w:r>
      <w:r w:rsidR="00174328" w:rsidRPr="009E00B0">
        <w:rPr>
          <w:rFonts w:eastAsia="Times New Roman"/>
          <w:sz w:val="20"/>
          <w:szCs w:val="20"/>
        </w:rPr>
        <w:t xml:space="preserve">resources </w:t>
      </w:r>
      <w:r w:rsidRPr="009E00B0">
        <w:rPr>
          <w:rFonts w:eastAsia="Times New Roman"/>
          <w:sz w:val="20"/>
          <w:szCs w:val="20"/>
        </w:rPr>
        <w:t>ability to be intensively innovative, which means that a higher performance level stated is achieved faster. Thus, Innovating Time is shorter when this parameter has high values.</w:t>
      </w:r>
    </w:p>
    <w:p w14:paraId="0A9A4C0B" w14:textId="77777777" w:rsidR="00C751FA" w:rsidRPr="009E00B0" w:rsidRDefault="00C751FA" w:rsidP="009E00B0">
      <w:pPr>
        <w:pStyle w:val="ab"/>
        <w:numPr>
          <w:ilvl w:val="0"/>
          <w:numId w:val="5"/>
        </w:numPr>
        <w:spacing w:line="276" w:lineRule="auto"/>
        <w:rPr>
          <w:rFonts w:eastAsia="Times New Roman"/>
          <w:sz w:val="20"/>
          <w:szCs w:val="20"/>
        </w:rPr>
      </w:pPr>
      <w:r w:rsidRPr="009E00B0">
        <w:rPr>
          <w:rFonts w:eastAsia="Times New Roman"/>
          <w:sz w:val="20"/>
          <w:szCs w:val="20"/>
        </w:rPr>
        <w:t>Advance S</w:t>
      </w:r>
      <w:r w:rsidR="00174328" w:rsidRPr="009E00B0">
        <w:rPr>
          <w:rFonts w:eastAsia="Times New Roman"/>
          <w:sz w:val="20"/>
          <w:szCs w:val="20"/>
        </w:rPr>
        <w:t xml:space="preserve">ustention </w:t>
      </w:r>
      <w:r w:rsidR="005A2470" w:rsidRPr="009E00B0">
        <w:rPr>
          <w:rFonts w:eastAsia="Times New Roman"/>
          <w:sz w:val="20"/>
          <w:szCs w:val="20"/>
        </w:rPr>
        <w:t>–</w:t>
      </w:r>
      <w:r w:rsidR="00174328" w:rsidRPr="009E00B0">
        <w:rPr>
          <w:rFonts w:eastAsia="Times New Roman"/>
          <w:sz w:val="20"/>
          <w:szCs w:val="20"/>
        </w:rPr>
        <w:t xml:space="preserve"> </w:t>
      </w:r>
      <w:r w:rsidR="005A2470" w:rsidRPr="009E00B0">
        <w:rPr>
          <w:rFonts w:eastAsia="Times New Roman"/>
          <w:sz w:val="20"/>
          <w:szCs w:val="20"/>
        </w:rPr>
        <w:t xml:space="preserve">which </w:t>
      </w:r>
      <w:r w:rsidRPr="009E00B0">
        <w:rPr>
          <w:rFonts w:eastAsia="Times New Roman"/>
          <w:sz w:val="20"/>
          <w:szCs w:val="20"/>
        </w:rPr>
        <w:t xml:space="preserve">measures the </w:t>
      </w:r>
      <w:r w:rsidR="00174328" w:rsidRPr="009E00B0">
        <w:rPr>
          <w:rFonts w:eastAsia="Times New Roman"/>
          <w:sz w:val="20"/>
          <w:szCs w:val="20"/>
        </w:rPr>
        <w:t xml:space="preserve">resources </w:t>
      </w:r>
      <w:r w:rsidRPr="009E00B0">
        <w:rPr>
          <w:rFonts w:eastAsia="Times New Roman"/>
          <w:sz w:val="20"/>
          <w:szCs w:val="20"/>
        </w:rPr>
        <w:t xml:space="preserve">ability to maintain longer this innovation advantage. Thus, </w:t>
      </w:r>
      <w:r w:rsidRPr="009E00B0">
        <w:rPr>
          <w:sz w:val="20"/>
          <w:szCs w:val="20"/>
          <w:lang w:val="en"/>
        </w:rPr>
        <w:t>better this parameter the longer is the Protection Time.</w:t>
      </w:r>
    </w:p>
    <w:p w14:paraId="5C63EE94" w14:textId="77777777" w:rsidR="00973AD4" w:rsidRPr="009E00B0" w:rsidRDefault="004D59A0" w:rsidP="009E00B0">
      <w:pPr>
        <w:pStyle w:val="ab"/>
        <w:spacing w:line="276" w:lineRule="auto"/>
        <w:rPr>
          <w:sz w:val="20"/>
          <w:szCs w:val="20"/>
        </w:rPr>
      </w:pPr>
      <w:r w:rsidRPr="009E00B0">
        <w:rPr>
          <w:sz w:val="20"/>
          <w:szCs w:val="20"/>
        </w:rPr>
        <w:t xml:space="preserve">Considering </w:t>
      </w:r>
      <w:proofErr w:type="gramStart"/>
      <w:r w:rsidRPr="009E00B0">
        <w:rPr>
          <w:sz w:val="20"/>
          <w:szCs w:val="20"/>
        </w:rPr>
        <w:t>this</w:t>
      </w:r>
      <w:r w:rsidR="00174328" w:rsidRPr="009E00B0">
        <w:rPr>
          <w:sz w:val="20"/>
          <w:szCs w:val="20"/>
        </w:rPr>
        <w:t xml:space="preserve"> </w:t>
      </w:r>
      <w:r w:rsidRPr="009E00B0">
        <w:rPr>
          <w:sz w:val="20"/>
          <w:szCs w:val="20"/>
        </w:rPr>
        <w:t>assumptions</w:t>
      </w:r>
      <w:proofErr w:type="gramEnd"/>
      <w:r w:rsidR="00174328" w:rsidRPr="009E00B0">
        <w:rPr>
          <w:sz w:val="20"/>
          <w:szCs w:val="20"/>
        </w:rPr>
        <w:t xml:space="preserve">, we conclude that if a company has a short innovation time and a long protection time and </w:t>
      </w:r>
      <w:r w:rsidR="005A2470" w:rsidRPr="009E00B0">
        <w:rPr>
          <w:sz w:val="20"/>
          <w:szCs w:val="20"/>
        </w:rPr>
        <w:t>is</w:t>
      </w:r>
      <w:r w:rsidR="00174328" w:rsidRPr="009E00B0">
        <w:rPr>
          <w:sz w:val="20"/>
          <w:szCs w:val="20"/>
        </w:rPr>
        <w:t xml:space="preserve"> achieving high innovation results (performance), the</w:t>
      </w:r>
      <w:r w:rsidR="005A2470" w:rsidRPr="009E00B0">
        <w:rPr>
          <w:sz w:val="20"/>
          <w:szCs w:val="20"/>
        </w:rPr>
        <w:t>n the</w:t>
      </w:r>
      <w:r w:rsidR="00174328" w:rsidRPr="009E00B0">
        <w:rPr>
          <w:sz w:val="20"/>
          <w:szCs w:val="20"/>
        </w:rPr>
        <w:t xml:space="preserve"> company can be considered has having sustainable competitiveness. If compared with a competitor</w:t>
      </w:r>
      <w:r w:rsidR="005A2470" w:rsidRPr="009E00B0">
        <w:rPr>
          <w:sz w:val="20"/>
          <w:szCs w:val="20"/>
        </w:rPr>
        <w:t xml:space="preserve">, </w:t>
      </w:r>
      <w:r w:rsidR="00174328" w:rsidRPr="009E00B0">
        <w:rPr>
          <w:sz w:val="20"/>
          <w:szCs w:val="20"/>
        </w:rPr>
        <w:t>act</w:t>
      </w:r>
      <w:r w:rsidR="00DE68DA" w:rsidRPr="009E00B0">
        <w:rPr>
          <w:sz w:val="20"/>
          <w:szCs w:val="20"/>
        </w:rPr>
        <w:t>ing in the same economic sector</w:t>
      </w:r>
      <w:r w:rsidR="005A2470" w:rsidRPr="009E00B0">
        <w:rPr>
          <w:sz w:val="20"/>
          <w:szCs w:val="20"/>
        </w:rPr>
        <w:t>,</w:t>
      </w:r>
      <w:r w:rsidR="00174328" w:rsidRPr="009E00B0">
        <w:rPr>
          <w:sz w:val="20"/>
          <w:szCs w:val="20"/>
        </w:rPr>
        <w:t xml:space="preserve"> </w:t>
      </w:r>
      <w:r w:rsidR="00174328" w:rsidRPr="009E00B0">
        <w:rPr>
          <w:sz w:val="20"/>
          <w:szCs w:val="20"/>
        </w:rPr>
        <w:lastRenderedPageBreak/>
        <w:t xml:space="preserve">and </w:t>
      </w:r>
      <w:r w:rsidR="005A2470" w:rsidRPr="009E00B0">
        <w:rPr>
          <w:sz w:val="20"/>
          <w:szCs w:val="20"/>
        </w:rPr>
        <w:t xml:space="preserve">if </w:t>
      </w:r>
      <w:r w:rsidR="00DE68DA" w:rsidRPr="009E00B0">
        <w:rPr>
          <w:sz w:val="20"/>
          <w:szCs w:val="20"/>
        </w:rPr>
        <w:t>its</w:t>
      </w:r>
      <w:r w:rsidR="00174328" w:rsidRPr="009E00B0">
        <w:rPr>
          <w:sz w:val="20"/>
          <w:szCs w:val="20"/>
        </w:rPr>
        <w:t xml:space="preserve"> evaluation results reveal a better score</w:t>
      </w:r>
      <w:r w:rsidR="002A0C6E" w:rsidRPr="009E00B0">
        <w:rPr>
          <w:sz w:val="20"/>
          <w:szCs w:val="20"/>
        </w:rPr>
        <w:t xml:space="preserve"> than its competitor, then the company have a competitiveness advantage in terms of innovation.</w:t>
      </w:r>
    </w:p>
    <w:p w14:paraId="00C48088" w14:textId="77777777" w:rsidR="00973AD4" w:rsidRPr="009E00B0" w:rsidRDefault="002A0C6E" w:rsidP="009E00B0">
      <w:pPr>
        <w:pStyle w:val="ab"/>
        <w:spacing w:line="276" w:lineRule="auto"/>
        <w:rPr>
          <w:sz w:val="20"/>
          <w:szCs w:val="20"/>
        </w:rPr>
      </w:pPr>
      <w:r w:rsidRPr="009E00B0">
        <w:rPr>
          <w:sz w:val="20"/>
          <w:szCs w:val="20"/>
        </w:rPr>
        <w:t xml:space="preserve">Anyway, the question that should be answered now is: How can innovation resources management be measured, as well as </w:t>
      </w:r>
      <w:r w:rsidR="00DE68DA" w:rsidRPr="009E00B0">
        <w:rPr>
          <w:sz w:val="20"/>
          <w:szCs w:val="20"/>
        </w:rPr>
        <w:t xml:space="preserve">what kind of </w:t>
      </w:r>
      <w:r w:rsidRPr="009E00B0">
        <w:rPr>
          <w:sz w:val="20"/>
          <w:szCs w:val="20"/>
        </w:rPr>
        <w:t>innovation indicators</w:t>
      </w:r>
      <w:r w:rsidR="00DE68DA" w:rsidRPr="009E00B0">
        <w:rPr>
          <w:sz w:val="20"/>
          <w:szCs w:val="20"/>
        </w:rPr>
        <w:t xml:space="preserve"> should be used</w:t>
      </w:r>
      <w:r w:rsidRPr="009E00B0">
        <w:rPr>
          <w:sz w:val="20"/>
          <w:szCs w:val="20"/>
        </w:rPr>
        <w:t>?</w:t>
      </w:r>
    </w:p>
    <w:p w14:paraId="210218AD" w14:textId="77777777" w:rsidR="009E00B0" w:rsidRDefault="00DE68DA" w:rsidP="009E00B0">
      <w:pPr>
        <w:pStyle w:val="ab"/>
        <w:spacing w:line="276" w:lineRule="auto"/>
        <w:rPr>
          <w:sz w:val="20"/>
          <w:szCs w:val="20"/>
        </w:rPr>
      </w:pPr>
      <w:r w:rsidRPr="009E00B0">
        <w:rPr>
          <w:sz w:val="20"/>
          <w:szCs w:val="20"/>
        </w:rPr>
        <w:t>Considering the analysis of several evaluation models and strategic approaches, we define sev</w:t>
      </w:r>
      <w:r w:rsidR="00AB575C" w:rsidRPr="009E00B0">
        <w:rPr>
          <w:sz w:val="20"/>
          <w:szCs w:val="20"/>
        </w:rPr>
        <w:t>en competitiveness drivers (</w:t>
      </w:r>
      <w:r w:rsidRPr="009E00B0">
        <w:rPr>
          <w:sz w:val="20"/>
          <w:szCs w:val="20"/>
        </w:rPr>
        <w:t>Table 1)</w:t>
      </w:r>
      <w:r w:rsidR="005F7B96" w:rsidRPr="009E00B0">
        <w:rPr>
          <w:sz w:val="20"/>
          <w:szCs w:val="20"/>
        </w:rPr>
        <w:t>, wh</w:t>
      </w:r>
      <w:r w:rsidR="004D59A0" w:rsidRPr="009E00B0">
        <w:rPr>
          <w:sz w:val="20"/>
          <w:szCs w:val="20"/>
        </w:rPr>
        <w:t>i</w:t>
      </w:r>
      <w:r w:rsidR="005F7B96" w:rsidRPr="009E00B0">
        <w:rPr>
          <w:sz w:val="20"/>
          <w:szCs w:val="20"/>
        </w:rPr>
        <w:t>ch are the foundations of the Sustaina</w:t>
      </w:r>
      <w:r w:rsidR="005A2470" w:rsidRPr="009E00B0">
        <w:rPr>
          <w:sz w:val="20"/>
          <w:szCs w:val="20"/>
        </w:rPr>
        <w:t>ble Competitiveness Evaluation m</w:t>
      </w:r>
      <w:r w:rsidR="005F7B96" w:rsidRPr="009E00B0">
        <w:rPr>
          <w:sz w:val="20"/>
          <w:szCs w:val="20"/>
        </w:rPr>
        <w:t>odel based on innovation.</w:t>
      </w:r>
    </w:p>
    <w:p w14:paraId="5FF51EFE" w14:textId="77777777" w:rsidR="00D94000" w:rsidRDefault="00D94000" w:rsidP="009E00B0">
      <w:pPr>
        <w:pStyle w:val="ab"/>
        <w:spacing w:line="276" w:lineRule="auto"/>
        <w:rPr>
          <w:sz w:val="20"/>
          <w:szCs w:val="20"/>
        </w:rPr>
      </w:pPr>
    </w:p>
    <w:p w14:paraId="7AA9585C" w14:textId="77777777" w:rsidR="00D94000" w:rsidRDefault="00D94000" w:rsidP="009E00B0">
      <w:pPr>
        <w:pStyle w:val="ab"/>
        <w:spacing w:line="276" w:lineRule="auto"/>
        <w:rPr>
          <w:b/>
          <w:sz w:val="20"/>
        </w:rPr>
        <w:sectPr w:rsidR="00D94000" w:rsidSect="009E00B0">
          <w:type w:val="continuous"/>
          <w:pgSz w:w="11906" w:h="16838"/>
          <w:pgMar w:top="1417" w:right="1701" w:bottom="1417" w:left="1701" w:header="708" w:footer="708" w:gutter="0"/>
          <w:cols w:num="2" w:space="708"/>
          <w:docGrid w:linePitch="360"/>
        </w:sectPr>
      </w:pPr>
    </w:p>
    <w:p w14:paraId="3C7393DF" w14:textId="25E87A91" w:rsidR="00D94000" w:rsidRDefault="00D94000" w:rsidP="009E00B0">
      <w:pPr>
        <w:pStyle w:val="ab"/>
        <w:spacing w:line="276" w:lineRule="auto"/>
        <w:rPr>
          <w:sz w:val="20"/>
          <w:szCs w:val="20"/>
        </w:rPr>
      </w:pPr>
      <w:r w:rsidRPr="009E00B0">
        <w:rPr>
          <w:b/>
          <w:sz w:val="20"/>
        </w:rPr>
        <w:t>Table 1</w:t>
      </w:r>
      <w:r w:rsidRPr="009E00B0">
        <w:rPr>
          <w:sz w:val="20"/>
        </w:rPr>
        <w:t xml:space="preserve"> – The 7 competitiveness Drivers of the sustainable competitiveness evaluation model based on innovation, considering a comparison analysis with other models and approaches</w:t>
      </w:r>
    </w:p>
    <w:p w14:paraId="221A22BC" w14:textId="59B2D3C8" w:rsidR="00D94000" w:rsidRDefault="00D94000" w:rsidP="009E00B0">
      <w:pPr>
        <w:pStyle w:val="ab"/>
        <w:spacing w:line="276" w:lineRule="auto"/>
        <w:rPr>
          <w:sz w:val="20"/>
          <w:szCs w:val="20"/>
        </w:rPr>
        <w:sectPr w:rsidR="00D94000" w:rsidSect="00D94000">
          <w:type w:val="continuous"/>
          <w:pgSz w:w="11906" w:h="16838"/>
          <w:pgMar w:top="1417" w:right="1701" w:bottom="1417" w:left="1701" w:header="708" w:footer="708" w:gutter="0"/>
          <w:cols w:space="708"/>
          <w:docGrid w:linePitch="360"/>
        </w:sect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1838"/>
        <w:gridCol w:w="2268"/>
        <w:gridCol w:w="1843"/>
        <w:gridCol w:w="1417"/>
        <w:gridCol w:w="1418"/>
      </w:tblGrid>
      <w:tr w:rsidR="00333E7C" w:rsidRPr="009E00B0" w14:paraId="5AA037B6" w14:textId="77777777" w:rsidTr="00A64D88">
        <w:trPr>
          <w:trHeight w:val="699"/>
          <w:jc w:val="center"/>
        </w:trPr>
        <w:tc>
          <w:tcPr>
            <w:tcW w:w="1838" w:type="dxa"/>
            <w:shd w:val="clear" w:color="auto" w:fill="F8F8F8"/>
            <w:vAlign w:val="center"/>
          </w:tcPr>
          <w:p w14:paraId="5C6242C7" w14:textId="77777777" w:rsidR="00333E7C" w:rsidRPr="009E00B0" w:rsidRDefault="00333E7C" w:rsidP="009E00B0">
            <w:pPr>
              <w:spacing w:before="80" w:after="80" w:line="0" w:lineRule="atLeast"/>
              <w:jc w:val="center"/>
              <w:rPr>
                <w:rFonts w:eastAsia="Calibri"/>
                <w:b/>
              </w:rPr>
            </w:pPr>
            <w:r w:rsidRPr="009E00B0">
              <w:rPr>
                <w:rFonts w:eastAsia="Calibri"/>
                <w:b/>
              </w:rPr>
              <w:t>Criteria of EFQM model</w:t>
            </w:r>
          </w:p>
        </w:tc>
        <w:tc>
          <w:tcPr>
            <w:tcW w:w="2268" w:type="dxa"/>
            <w:shd w:val="clear" w:color="auto" w:fill="F8F8F8"/>
            <w:vAlign w:val="center"/>
          </w:tcPr>
          <w:p w14:paraId="40A8C112" w14:textId="77777777" w:rsidR="00333E7C" w:rsidRPr="009E00B0" w:rsidRDefault="00333E7C" w:rsidP="009E00B0">
            <w:pPr>
              <w:spacing w:before="80" w:after="80" w:line="0" w:lineRule="atLeast"/>
              <w:jc w:val="center"/>
              <w:rPr>
                <w:rFonts w:eastAsia="Calibri"/>
                <w:b/>
              </w:rPr>
            </w:pPr>
            <w:r w:rsidRPr="009E00B0">
              <w:rPr>
                <w:rFonts w:eastAsia="Calibri"/>
                <w:b/>
              </w:rPr>
              <w:t>Principles of Shingo Prize model</w:t>
            </w:r>
          </w:p>
        </w:tc>
        <w:tc>
          <w:tcPr>
            <w:tcW w:w="1843" w:type="dxa"/>
            <w:shd w:val="clear" w:color="auto" w:fill="F8F8F8"/>
            <w:vAlign w:val="center"/>
          </w:tcPr>
          <w:p w14:paraId="25039992"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Competitiveness Drivers</w:t>
            </w:r>
          </w:p>
        </w:tc>
        <w:tc>
          <w:tcPr>
            <w:tcW w:w="1417" w:type="dxa"/>
            <w:shd w:val="clear" w:color="auto" w:fill="F8F8F8"/>
            <w:vAlign w:val="center"/>
          </w:tcPr>
          <w:p w14:paraId="16273B33" w14:textId="77777777" w:rsidR="00333E7C" w:rsidRPr="009E00B0" w:rsidRDefault="00333E7C" w:rsidP="009E00B0">
            <w:pPr>
              <w:spacing w:before="80" w:after="80" w:line="0" w:lineRule="atLeast"/>
              <w:jc w:val="center"/>
              <w:rPr>
                <w:rFonts w:eastAsia="Calibri"/>
                <w:b/>
              </w:rPr>
            </w:pPr>
            <w:r w:rsidRPr="009E00B0">
              <w:rPr>
                <w:rFonts w:eastAsia="Calibri"/>
                <w:b/>
              </w:rPr>
              <w:t>Balanced Scorecard Perspectives</w:t>
            </w:r>
          </w:p>
        </w:tc>
        <w:tc>
          <w:tcPr>
            <w:tcW w:w="1418" w:type="dxa"/>
            <w:shd w:val="clear" w:color="auto" w:fill="F8F8F8"/>
            <w:vAlign w:val="center"/>
          </w:tcPr>
          <w:p w14:paraId="7A16E01A"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PESTLE</w:t>
            </w:r>
          </w:p>
        </w:tc>
      </w:tr>
      <w:tr w:rsidR="00333E7C" w:rsidRPr="009E00B0" w14:paraId="39199A56" w14:textId="77777777" w:rsidTr="00A64D88">
        <w:trPr>
          <w:trHeight w:val="1272"/>
          <w:jc w:val="center"/>
        </w:trPr>
        <w:tc>
          <w:tcPr>
            <w:tcW w:w="1838" w:type="dxa"/>
            <w:shd w:val="clear" w:color="auto" w:fill="FFFFFF"/>
            <w:vAlign w:val="center"/>
          </w:tcPr>
          <w:p w14:paraId="4F861B1B" w14:textId="77777777" w:rsidR="00333E7C" w:rsidRPr="009E00B0" w:rsidRDefault="00333E7C" w:rsidP="009E00B0">
            <w:pPr>
              <w:spacing w:before="80" w:after="80" w:line="0" w:lineRule="atLeast"/>
              <w:jc w:val="center"/>
              <w:rPr>
                <w:rFonts w:eastAsia="Calibri"/>
              </w:rPr>
            </w:pPr>
            <w:r w:rsidRPr="009E00B0">
              <w:rPr>
                <w:rFonts w:eastAsia="Calibri"/>
              </w:rPr>
              <w:t>Leadership</w:t>
            </w:r>
          </w:p>
        </w:tc>
        <w:tc>
          <w:tcPr>
            <w:tcW w:w="2268" w:type="dxa"/>
            <w:shd w:val="clear" w:color="auto" w:fill="FFFFFF"/>
            <w:vAlign w:val="center"/>
          </w:tcPr>
          <w:p w14:paraId="66CABA6A" w14:textId="77777777" w:rsidR="00333E7C" w:rsidRPr="009E00B0" w:rsidRDefault="00333E7C" w:rsidP="009E00B0">
            <w:pPr>
              <w:spacing w:before="80" w:after="80" w:line="0" w:lineRule="atLeast"/>
              <w:jc w:val="center"/>
              <w:rPr>
                <w:rFonts w:eastAsia="Calibri"/>
              </w:rPr>
            </w:pPr>
            <w:r w:rsidRPr="009E00B0">
              <w:rPr>
                <w:rFonts w:eastAsia="Calibri"/>
              </w:rPr>
              <w:t>Culture Enablers</w:t>
            </w:r>
          </w:p>
          <w:p w14:paraId="0A5E6C06" w14:textId="77777777" w:rsidR="00333E7C" w:rsidRPr="009E00B0" w:rsidRDefault="00333E7C" w:rsidP="009E00B0">
            <w:pPr>
              <w:spacing w:before="80" w:after="80" w:line="0" w:lineRule="atLeast"/>
              <w:jc w:val="center"/>
              <w:rPr>
                <w:rFonts w:eastAsia="Calibri"/>
              </w:rPr>
            </w:pPr>
            <w:r w:rsidRPr="009E00B0">
              <w:rPr>
                <w:rFonts w:eastAsia="Calibri"/>
              </w:rPr>
              <w:t xml:space="preserve">Leadership &amp; Ethics </w:t>
            </w:r>
          </w:p>
          <w:p w14:paraId="6362CACA" w14:textId="77777777" w:rsidR="00333E7C" w:rsidRPr="009E00B0" w:rsidRDefault="00333E7C" w:rsidP="009E00B0">
            <w:pPr>
              <w:spacing w:before="80" w:after="80" w:line="0" w:lineRule="atLeast"/>
              <w:jc w:val="center"/>
              <w:rPr>
                <w:rFonts w:eastAsia="Calibri"/>
              </w:rPr>
            </w:pPr>
            <w:r w:rsidRPr="009E00B0">
              <w:rPr>
                <w:rFonts w:eastAsia="Calibri"/>
              </w:rPr>
              <w:t>Enterprise Culture</w:t>
            </w:r>
          </w:p>
          <w:p w14:paraId="600A9274" w14:textId="77777777" w:rsidR="00333E7C" w:rsidRPr="009E00B0" w:rsidRDefault="00333E7C" w:rsidP="009E00B0">
            <w:pPr>
              <w:spacing w:before="80" w:after="80" w:line="0" w:lineRule="atLeast"/>
              <w:jc w:val="center"/>
              <w:rPr>
                <w:rFonts w:eastAsia="Calibri"/>
              </w:rPr>
            </w:pPr>
            <w:r w:rsidRPr="009E00B0">
              <w:rPr>
                <w:rFonts w:eastAsia="Calibri"/>
              </w:rPr>
              <w:t xml:space="preserve">Enterprise Thinking </w:t>
            </w:r>
          </w:p>
          <w:p w14:paraId="10A15BA3" w14:textId="77777777" w:rsidR="00333E7C" w:rsidRPr="009E00B0" w:rsidRDefault="00333E7C" w:rsidP="009E00B0">
            <w:pPr>
              <w:spacing w:before="80" w:after="80" w:line="0" w:lineRule="atLeast"/>
              <w:jc w:val="center"/>
              <w:rPr>
                <w:rFonts w:eastAsia="Calibri"/>
              </w:rPr>
            </w:pPr>
            <w:r w:rsidRPr="009E00B0">
              <w:rPr>
                <w:rFonts w:eastAsia="Calibri"/>
              </w:rPr>
              <w:t>Consistent Lean Policy Deployment</w:t>
            </w:r>
          </w:p>
        </w:tc>
        <w:tc>
          <w:tcPr>
            <w:tcW w:w="1843" w:type="dxa"/>
            <w:shd w:val="clear" w:color="auto" w:fill="FFFFFF"/>
            <w:vAlign w:val="center"/>
          </w:tcPr>
          <w:p w14:paraId="19453A7C"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Corporate Behavior</w:t>
            </w:r>
          </w:p>
        </w:tc>
        <w:tc>
          <w:tcPr>
            <w:tcW w:w="1417" w:type="dxa"/>
            <w:shd w:val="clear" w:color="auto" w:fill="FFFFFF"/>
            <w:vAlign w:val="center"/>
          </w:tcPr>
          <w:p w14:paraId="0FE1585A" w14:textId="77777777" w:rsidR="00333E7C" w:rsidRPr="009E00B0" w:rsidRDefault="00333E7C" w:rsidP="009E00B0">
            <w:pPr>
              <w:spacing w:before="80" w:after="80" w:line="0" w:lineRule="atLeast"/>
              <w:jc w:val="center"/>
              <w:rPr>
                <w:rFonts w:eastAsia="Calibri"/>
              </w:rPr>
            </w:pPr>
            <w:r w:rsidRPr="009E00B0">
              <w:rPr>
                <w:rFonts w:eastAsia="Calibri"/>
              </w:rPr>
              <w:t>Learning and Growth</w:t>
            </w:r>
          </w:p>
        </w:tc>
        <w:tc>
          <w:tcPr>
            <w:tcW w:w="1418" w:type="dxa"/>
            <w:shd w:val="clear" w:color="auto" w:fill="FFFFFF"/>
            <w:vAlign w:val="center"/>
          </w:tcPr>
          <w:p w14:paraId="53073C1A" w14:textId="77777777" w:rsidR="00333E7C" w:rsidRPr="009E00B0" w:rsidRDefault="00333E7C" w:rsidP="009E00B0">
            <w:pPr>
              <w:spacing w:before="80" w:after="80" w:line="0" w:lineRule="atLeast"/>
              <w:jc w:val="center"/>
              <w:rPr>
                <w:rFonts w:eastAsia="Calibri"/>
              </w:rPr>
            </w:pPr>
            <w:r w:rsidRPr="009E00B0">
              <w:rPr>
                <w:rFonts w:eastAsia="Calibri"/>
              </w:rPr>
              <w:t>Political</w:t>
            </w:r>
          </w:p>
          <w:p w14:paraId="57998F41" w14:textId="77777777" w:rsidR="00333E7C" w:rsidRPr="009E00B0" w:rsidRDefault="00333E7C" w:rsidP="009E00B0">
            <w:pPr>
              <w:spacing w:before="80" w:after="80" w:line="0" w:lineRule="atLeast"/>
              <w:jc w:val="center"/>
              <w:rPr>
                <w:rFonts w:eastAsia="Calibri"/>
              </w:rPr>
            </w:pPr>
            <w:r w:rsidRPr="009E00B0">
              <w:rPr>
                <w:rFonts w:eastAsia="Calibri"/>
              </w:rPr>
              <w:t>Legal</w:t>
            </w:r>
          </w:p>
        </w:tc>
      </w:tr>
      <w:tr w:rsidR="00333E7C" w:rsidRPr="009E00B0" w14:paraId="779060E5" w14:textId="77777777" w:rsidTr="00A64D88">
        <w:trPr>
          <w:trHeight w:val="1266"/>
          <w:jc w:val="center"/>
        </w:trPr>
        <w:tc>
          <w:tcPr>
            <w:tcW w:w="1838" w:type="dxa"/>
            <w:shd w:val="clear" w:color="auto" w:fill="FFFFFF"/>
            <w:vAlign w:val="center"/>
          </w:tcPr>
          <w:p w14:paraId="2642BA66" w14:textId="77777777" w:rsidR="00333E7C" w:rsidRPr="009E00B0" w:rsidRDefault="00333E7C" w:rsidP="009E00B0">
            <w:pPr>
              <w:spacing w:before="80" w:after="80" w:line="0" w:lineRule="atLeast"/>
              <w:jc w:val="center"/>
              <w:rPr>
                <w:rFonts w:eastAsia="Calibri"/>
              </w:rPr>
            </w:pPr>
            <w:r w:rsidRPr="009E00B0">
              <w:rPr>
                <w:rFonts w:eastAsia="Calibri"/>
              </w:rPr>
              <w:t>Strategy</w:t>
            </w:r>
          </w:p>
          <w:p w14:paraId="68F596C5" w14:textId="77777777" w:rsidR="00333E7C" w:rsidRPr="009E00B0" w:rsidRDefault="00333E7C" w:rsidP="009E00B0">
            <w:pPr>
              <w:spacing w:before="80" w:after="80" w:line="0" w:lineRule="atLeast"/>
              <w:jc w:val="center"/>
              <w:rPr>
                <w:rFonts w:eastAsia="Calibri"/>
              </w:rPr>
            </w:pPr>
            <w:r w:rsidRPr="009E00B0">
              <w:rPr>
                <w:rFonts w:eastAsia="Calibri"/>
              </w:rPr>
              <w:t>Customer Results</w:t>
            </w:r>
          </w:p>
          <w:p w14:paraId="30A5FADA" w14:textId="77777777" w:rsidR="00333E7C" w:rsidRPr="009E00B0" w:rsidRDefault="00333E7C" w:rsidP="009E00B0">
            <w:pPr>
              <w:spacing w:before="80" w:after="80" w:line="0" w:lineRule="atLeast"/>
              <w:jc w:val="center"/>
              <w:rPr>
                <w:rFonts w:eastAsia="Calibri"/>
              </w:rPr>
            </w:pPr>
            <w:r w:rsidRPr="009E00B0">
              <w:rPr>
                <w:rFonts w:eastAsia="Calibri"/>
              </w:rPr>
              <w:t>Society Results</w:t>
            </w:r>
          </w:p>
        </w:tc>
        <w:tc>
          <w:tcPr>
            <w:tcW w:w="2268" w:type="dxa"/>
            <w:shd w:val="clear" w:color="auto" w:fill="FFFFFF"/>
            <w:vAlign w:val="center"/>
          </w:tcPr>
          <w:p w14:paraId="6A955DA0" w14:textId="77777777" w:rsidR="00333E7C" w:rsidRPr="009E00B0" w:rsidRDefault="00333E7C" w:rsidP="009E00B0">
            <w:pPr>
              <w:spacing w:before="80" w:after="80" w:line="0" w:lineRule="atLeast"/>
              <w:jc w:val="center"/>
              <w:rPr>
                <w:rFonts w:eastAsia="Calibri"/>
              </w:rPr>
            </w:pPr>
            <w:r w:rsidRPr="009E00B0">
              <w:rPr>
                <w:rFonts w:eastAsia="Calibri"/>
              </w:rPr>
              <w:t>Quality</w:t>
            </w:r>
          </w:p>
          <w:p w14:paraId="7F35BA8F" w14:textId="77777777" w:rsidR="00333E7C" w:rsidRPr="009E00B0" w:rsidRDefault="00333E7C" w:rsidP="009E00B0">
            <w:pPr>
              <w:spacing w:before="80" w:after="80" w:line="0" w:lineRule="atLeast"/>
              <w:jc w:val="center"/>
              <w:rPr>
                <w:rFonts w:eastAsia="Calibri"/>
              </w:rPr>
            </w:pPr>
            <w:r w:rsidRPr="009E00B0">
              <w:rPr>
                <w:rFonts w:eastAsia="Calibri"/>
              </w:rPr>
              <w:t>Delivery</w:t>
            </w:r>
          </w:p>
          <w:p w14:paraId="4B42EE51" w14:textId="77777777" w:rsidR="00333E7C" w:rsidRPr="009E00B0" w:rsidRDefault="00333E7C" w:rsidP="009E00B0">
            <w:pPr>
              <w:spacing w:before="80" w:after="80" w:line="0" w:lineRule="atLeast"/>
              <w:jc w:val="center"/>
              <w:rPr>
                <w:rFonts w:eastAsia="Calibri"/>
              </w:rPr>
            </w:pPr>
            <w:r w:rsidRPr="009E00B0">
              <w:rPr>
                <w:rFonts w:eastAsia="Calibri"/>
              </w:rPr>
              <w:t>Cost</w:t>
            </w:r>
          </w:p>
          <w:p w14:paraId="61BD88B1" w14:textId="77777777" w:rsidR="00333E7C" w:rsidRPr="009E00B0" w:rsidRDefault="00333E7C" w:rsidP="009E00B0">
            <w:pPr>
              <w:spacing w:before="80" w:after="80" w:line="0" w:lineRule="atLeast"/>
              <w:jc w:val="center"/>
              <w:rPr>
                <w:rFonts w:eastAsia="Calibri"/>
              </w:rPr>
            </w:pPr>
            <w:r w:rsidRPr="009E00B0">
              <w:rPr>
                <w:rFonts w:eastAsia="Calibri"/>
              </w:rPr>
              <w:t>Competitive Impact</w:t>
            </w:r>
          </w:p>
        </w:tc>
        <w:tc>
          <w:tcPr>
            <w:tcW w:w="1843" w:type="dxa"/>
            <w:shd w:val="clear" w:color="auto" w:fill="FFFFFF"/>
            <w:vAlign w:val="center"/>
          </w:tcPr>
          <w:p w14:paraId="3F31E463"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Business Proposition</w:t>
            </w:r>
          </w:p>
        </w:tc>
        <w:tc>
          <w:tcPr>
            <w:tcW w:w="1417" w:type="dxa"/>
            <w:shd w:val="clear" w:color="auto" w:fill="FFFFFF"/>
            <w:vAlign w:val="center"/>
          </w:tcPr>
          <w:p w14:paraId="78138DFE" w14:textId="77777777" w:rsidR="00333E7C" w:rsidRPr="009E00B0" w:rsidRDefault="00333E7C" w:rsidP="009E00B0">
            <w:pPr>
              <w:spacing w:before="80" w:after="80" w:line="0" w:lineRule="atLeast"/>
              <w:jc w:val="center"/>
              <w:rPr>
                <w:rFonts w:eastAsia="Calibri"/>
              </w:rPr>
            </w:pPr>
            <w:r w:rsidRPr="009E00B0">
              <w:rPr>
                <w:rFonts w:eastAsia="Calibri"/>
              </w:rPr>
              <w:t>Customer</w:t>
            </w:r>
          </w:p>
        </w:tc>
        <w:tc>
          <w:tcPr>
            <w:tcW w:w="1418" w:type="dxa"/>
            <w:vMerge w:val="restart"/>
            <w:shd w:val="clear" w:color="auto" w:fill="FFFFFF"/>
            <w:vAlign w:val="center"/>
          </w:tcPr>
          <w:p w14:paraId="213B35EC" w14:textId="77777777" w:rsidR="00333E7C" w:rsidRPr="009E00B0" w:rsidRDefault="00333E7C" w:rsidP="009E00B0">
            <w:pPr>
              <w:spacing w:before="80" w:after="80" w:line="0" w:lineRule="atLeast"/>
              <w:jc w:val="center"/>
              <w:rPr>
                <w:rFonts w:eastAsia="Calibri"/>
              </w:rPr>
            </w:pPr>
            <w:r w:rsidRPr="009E00B0">
              <w:rPr>
                <w:rFonts w:eastAsia="Calibri"/>
              </w:rPr>
              <w:t>Economic</w:t>
            </w:r>
          </w:p>
        </w:tc>
      </w:tr>
      <w:tr w:rsidR="00333E7C" w:rsidRPr="009E00B0" w14:paraId="029357F3" w14:textId="77777777" w:rsidTr="00A64D88">
        <w:trPr>
          <w:trHeight w:val="702"/>
          <w:jc w:val="center"/>
        </w:trPr>
        <w:tc>
          <w:tcPr>
            <w:tcW w:w="1838" w:type="dxa"/>
            <w:shd w:val="clear" w:color="auto" w:fill="FFFFFF"/>
            <w:vAlign w:val="center"/>
          </w:tcPr>
          <w:p w14:paraId="78E219F0" w14:textId="77777777" w:rsidR="00333E7C" w:rsidRPr="009E00B0" w:rsidRDefault="00333E7C" w:rsidP="009E00B0">
            <w:pPr>
              <w:spacing w:before="80" w:after="80" w:line="0" w:lineRule="atLeast"/>
              <w:jc w:val="center"/>
              <w:rPr>
                <w:rFonts w:eastAsia="Calibri"/>
              </w:rPr>
            </w:pPr>
            <w:r w:rsidRPr="009E00B0">
              <w:rPr>
                <w:rFonts w:eastAsia="Calibri"/>
              </w:rPr>
              <w:t>Business Results</w:t>
            </w:r>
          </w:p>
        </w:tc>
        <w:tc>
          <w:tcPr>
            <w:tcW w:w="2268" w:type="dxa"/>
            <w:shd w:val="clear" w:color="auto" w:fill="FFFFFF"/>
            <w:vAlign w:val="center"/>
          </w:tcPr>
          <w:p w14:paraId="150A09FF" w14:textId="77777777" w:rsidR="00333E7C" w:rsidRPr="009E00B0" w:rsidRDefault="00333E7C" w:rsidP="009E00B0">
            <w:pPr>
              <w:spacing w:before="80" w:after="80" w:line="0" w:lineRule="atLeast"/>
              <w:jc w:val="center"/>
              <w:rPr>
                <w:rFonts w:eastAsia="Calibri"/>
              </w:rPr>
            </w:pPr>
            <w:r w:rsidRPr="009E00B0">
              <w:rPr>
                <w:rFonts w:eastAsia="Calibri"/>
              </w:rPr>
              <w:t>Business Results</w:t>
            </w:r>
          </w:p>
          <w:p w14:paraId="3D2E2E37" w14:textId="77777777" w:rsidR="00333E7C" w:rsidRPr="009E00B0" w:rsidRDefault="00333E7C" w:rsidP="009E00B0">
            <w:pPr>
              <w:spacing w:before="80" w:after="80" w:line="0" w:lineRule="atLeast"/>
              <w:jc w:val="center"/>
              <w:rPr>
                <w:rFonts w:eastAsia="Calibri"/>
              </w:rPr>
            </w:pPr>
            <w:r w:rsidRPr="009E00B0">
              <w:rPr>
                <w:rFonts w:eastAsia="Calibri"/>
              </w:rPr>
              <w:t>Financial Impact</w:t>
            </w:r>
          </w:p>
        </w:tc>
        <w:tc>
          <w:tcPr>
            <w:tcW w:w="1843" w:type="dxa"/>
            <w:shd w:val="clear" w:color="auto" w:fill="FFFFFF"/>
            <w:vAlign w:val="center"/>
          </w:tcPr>
          <w:p w14:paraId="2FAFBEC3"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Financial Stability</w:t>
            </w:r>
          </w:p>
        </w:tc>
        <w:tc>
          <w:tcPr>
            <w:tcW w:w="1417" w:type="dxa"/>
            <w:shd w:val="clear" w:color="auto" w:fill="FFFFFF"/>
            <w:vAlign w:val="center"/>
          </w:tcPr>
          <w:p w14:paraId="0435FCF6" w14:textId="77777777" w:rsidR="00333E7C" w:rsidRPr="009E00B0" w:rsidRDefault="00333E7C" w:rsidP="009E00B0">
            <w:pPr>
              <w:spacing w:before="80" w:after="80" w:line="0" w:lineRule="atLeast"/>
              <w:jc w:val="center"/>
              <w:rPr>
                <w:rFonts w:eastAsia="Calibri"/>
              </w:rPr>
            </w:pPr>
            <w:r w:rsidRPr="009E00B0">
              <w:rPr>
                <w:rFonts w:eastAsia="Calibri"/>
              </w:rPr>
              <w:t>Financial</w:t>
            </w:r>
          </w:p>
        </w:tc>
        <w:tc>
          <w:tcPr>
            <w:tcW w:w="1418" w:type="dxa"/>
            <w:vMerge/>
            <w:shd w:val="clear" w:color="auto" w:fill="FFFFFF"/>
            <w:vAlign w:val="center"/>
          </w:tcPr>
          <w:p w14:paraId="26360CBC" w14:textId="77777777" w:rsidR="00333E7C" w:rsidRPr="009E00B0" w:rsidRDefault="00333E7C" w:rsidP="009E00B0">
            <w:pPr>
              <w:spacing w:before="80" w:after="80" w:line="0" w:lineRule="atLeast"/>
              <w:jc w:val="center"/>
              <w:rPr>
                <w:rFonts w:eastAsia="Calibri"/>
              </w:rPr>
            </w:pPr>
          </w:p>
        </w:tc>
      </w:tr>
      <w:tr w:rsidR="00333E7C" w:rsidRPr="009E00B0" w14:paraId="2A9D0394" w14:textId="77777777" w:rsidTr="00A64D88">
        <w:trPr>
          <w:trHeight w:val="698"/>
          <w:jc w:val="center"/>
        </w:trPr>
        <w:tc>
          <w:tcPr>
            <w:tcW w:w="1838" w:type="dxa"/>
            <w:shd w:val="clear" w:color="auto" w:fill="FFFFFF"/>
            <w:vAlign w:val="center"/>
          </w:tcPr>
          <w:p w14:paraId="69A1BBF9" w14:textId="77777777" w:rsidR="00333E7C" w:rsidRPr="009E00B0" w:rsidRDefault="00333E7C" w:rsidP="009E00B0">
            <w:pPr>
              <w:spacing w:before="80" w:after="80" w:line="0" w:lineRule="atLeast"/>
              <w:jc w:val="center"/>
              <w:rPr>
                <w:rFonts w:eastAsia="Calibri"/>
              </w:rPr>
            </w:pPr>
            <w:r w:rsidRPr="009E00B0">
              <w:rPr>
                <w:rFonts w:eastAsia="Calibri"/>
              </w:rPr>
              <w:t>People</w:t>
            </w:r>
          </w:p>
          <w:p w14:paraId="7CB53039" w14:textId="77777777" w:rsidR="00333E7C" w:rsidRPr="009E00B0" w:rsidRDefault="00333E7C" w:rsidP="009E00B0">
            <w:pPr>
              <w:spacing w:before="80" w:after="80" w:line="0" w:lineRule="atLeast"/>
              <w:jc w:val="center"/>
              <w:rPr>
                <w:rFonts w:eastAsia="Calibri"/>
              </w:rPr>
            </w:pPr>
            <w:r w:rsidRPr="009E00B0">
              <w:rPr>
                <w:rFonts w:eastAsia="Calibri"/>
              </w:rPr>
              <w:t>Partnerships &amp; Resources</w:t>
            </w:r>
          </w:p>
          <w:p w14:paraId="4E07F9B6" w14:textId="77777777" w:rsidR="00333E7C" w:rsidRPr="009E00B0" w:rsidRDefault="00333E7C" w:rsidP="009E00B0">
            <w:pPr>
              <w:spacing w:before="80" w:after="80" w:line="0" w:lineRule="atLeast"/>
              <w:jc w:val="center"/>
              <w:rPr>
                <w:rFonts w:eastAsia="Calibri"/>
              </w:rPr>
            </w:pPr>
            <w:r w:rsidRPr="009E00B0">
              <w:rPr>
                <w:rFonts w:eastAsia="Calibri"/>
              </w:rPr>
              <w:t>People Results</w:t>
            </w:r>
          </w:p>
        </w:tc>
        <w:tc>
          <w:tcPr>
            <w:tcW w:w="2268" w:type="dxa"/>
            <w:shd w:val="clear" w:color="auto" w:fill="FFFFFF"/>
            <w:vAlign w:val="center"/>
          </w:tcPr>
          <w:p w14:paraId="23039076" w14:textId="77777777" w:rsidR="00333E7C" w:rsidRPr="009E00B0" w:rsidRDefault="00333E7C" w:rsidP="009E00B0">
            <w:pPr>
              <w:spacing w:before="80" w:after="80" w:line="0" w:lineRule="atLeast"/>
              <w:jc w:val="center"/>
              <w:rPr>
                <w:rFonts w:eastAsia="Calibri"/>
              </w:rPr>
            </w:pPr>
            <w:r w:rsidRPr="009E00B0">
              <w:rPr>
                <w:rFonts w:eastAsia="Calibri"/>
              </w:rPr>
              <w:t>People Deployment</w:t>
            </w:r>
          </w:p>
        </w:tc>
        <w:tc>
          <w:tcPr>
            <w:tcW w:w="1843" w:type="dxa"/>
            <w:shd w:val="clear" w:color="auto" w:fill="FFFFFF"/>
            <w:vAlign w:val="center"/>
          </w:tcPr>
          <w:p w14:paraId="5AC9D46F"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Organization Wellbeing</w:t>
            </w:r>
          </w:p>
        </w:tc>
        <w:tc>
          <w:tcPr>
            <w:tcW w:w="1417" w:type="dxa"/>
            <w:shd w:val="clear" w:color="auto" w:fill="FFFFFF"/>
            <w:vAlign w:val="center"/>
          </w:tcPr>
          <w:p w14:paraId="0BE790CD" w14:textId="77777777" w:rsidR="00333E7C" w:rsidRPr="009E00B0" w:rsidRDefault="00333E7C" w:rsidP="009E00B0">
            <w:pPr>
              <w:spacing w:before="80" w:after="80" w:line="0" w:lineRule="atLeast"/>
              <w:jc w:val="center"/>
              <w:rPr>
                <w:rFonts w:eastAsia="Calibri"/>
              </w:rPr>
            </w:pPr>
            <w:r w:rsidRPr="009E00B0">
              <w:rPr>
                <w:rFonts w:eastAsia="Calibri"/>
              </w:rPr>
              <w:t>Learning and Growth</w:t>
            </w:r>
          </w:p>
        </w:tc>
        <w:tc>
          <w:tcPr>
            <w:tcW w:w="1418" w:type="dxa"/>
            <w:shd w:val="clear" w:color="auto" w:fill="FFFFFF"/>
            <w:vAlign w:val="center"/>
          </w:tcPr>
          <w:p w14:paraId="4DAAC038" w14:textId="77777777" w:rsidR="00333E7C" w:rsidRPr="009E00B0" w:rsidRDefault="00333E7C" w:rsidP="009E00B0">
            <w:pPr>
              <w:spacing w:before="80" w:after="80" w:line="0" w:lineRule="atLeast"/>
              <w:jc w:val="center"/>
              <w:rPr>
                <w:rFonts w:eastAsia="Calibri"/>
              </w:rPr>
            </w:pPr>
            <w:r w:rsidRPr="009E00B0">
              <w:rPr>
                <w:rFonts w:eastAsia="Calibri"/>
              </w:rPr>
              <w:t>Social</w:t>
            </w:r>
          </w:p>
        </w:tc>
      </w:tr>
      <w:tr w:rsidR="00333E7C" w:rsidRPr="009E00B0" w14:paraId="300D7477" w14:textId="77777777" w:rsidTr="00A64D88">
        <w:trPr>
          <w:trHeight w:val="485"/>
          <w:jc w:val="center"/>
        </w:trPr>
        <w:tc>
          <w:tcPr>
            <w:tcW w:w="1838" w:type="dxa"/>
            <w:vMerge w:val="restart"/>
            <w:shd w:val="clear" w:color="auto" w:fill="FFFFFF"/>
            <w:vAlign w:val="center"/>
          </w:tcPr>
          <w:p w14:paraId="649F196F" w14:textId="77777777" w:rsidR="00333E7C" w:rsidRPr="009E00B0" w:rsidRDefault="00333E7C" w:rsidP="009E00B0">
            <w:pPr>
              <w:spacing w:before="80" w:after="80" w:line="0" w:lineRule="atLeast"/>
              <w:jc w:val="center"/>
              <w:rPr>
                <w:rFonts w:eastAsia="Calibri"/>
              </w:rPr>
            </w:pPr>
            <w:r w:rsidRPr="009E00B0">
              <w:rPr>
                <w:rFonts w:eastAsia="Calibri"/>
              </w:rPr>
              <w:t>Processes, Products &amp; Services</w:t>
            </w:r>
          </w:p>
          <w:p w14:paraId="469F9AE7" w14:textId="77777777" w:rsidR="00333E7C" w:rsidRPr="009E00B0" w:rsidRDefault="00333E7C" w:rsidP="009E00B0">
            <w:pPr>
              <w:spacing w:before="80" w:after="80" w:line="0" w:lineRule="atLeast"/>
              <w:jc w:val="center"/>
              <w:rPr>
                <w:rFonts w:eastAsia="Calibri"/>
              </w:rPr>
            </w:pPr>
            <w:r w:rsidRPr="009E00B0">
              <w:rPr>
                <w:rFonts w:eastAsia="Calibri"/>
              </w:rPr>
              <w:t>Partnerships &amp; Resources</w:t>
            </w:r>
          </w:p>
        </w:tc>
        <w:tc>
          <w:tcPr>
            <w:tcW w:w="2268" w:type="dxa"/>
            <w:vMerge w:val="restart"/>
            <w:shd w:val="clear" w:color="auto" w:fill="FFFFFF"/>
            <w:vAlign w:val="center"/>
          </w:tcPr>
          <w:p w14:paraId="7406791D" w14:textId="77777777" w:rsidR="00333E7C" w:rsidRPr="009E00B0" w:rsidRDefault="00333E7C" w:rsidP="009E00B0">
            <w:pPr>
              <w:spacing w:before="80" w:after="80" w:line="0" w:lineRule="atLeast"/>
              <w:jc w:val="center"/>
              <w:rPr>
                <w:rFonts w:eastAsia="Calibri"/>
              </w:rPr>
            </w:pPr>
            <w:r w:rsidRPr="009E00B0">
              <w:rPr>
                <w:rFonts w:eastAsia="Calibri"/>
              </w:rPr>
              <w:t>Continuous Process Improvement</w:t>
            </w:r>
          </w:p>
          <w:p w14:paraId="37614EA3" w14:textId="77777777" w:rsidR="00333E7C" w:rsidRPr="009E00B0" w:rsidRDefault="00333E7C" w:rsidP="009E00B0">
            <w:pPr>
              <w:spacing w:before="80" w:after="80" w:line="0" w:lineRule="atLeast"/>
              <w:jc w:val="center"/>
              <w:rPr>
                <w:rFonts w:eastAsia="Calibri"/>
              </w:rPr>
            </w:pPr>
            <w:r w:rsidRPr="009E00B0">
              <w:rPr>
                <w:rFonts w:eastAsia="Calibri"/>
              </w:rPr>
              <w:t>Lean Ideas</w:t>
            </w:r>
          </w:p>
          <w:p w14:paraId="2B129BDB" w14:textId="77777777" w:rsidR="00333E7C" w:rsidRPr="009E00B0" w:rsidRDefault="00333E7C" w:rsidP="009E00B0">
            <w:pPr>
              <w:spacing w:before="80" w:after="80" w:line="0" w:lineRule="atLeast"/>
              <w:jc w:val="center"/>
              <w:rPr>
                <w:rFonts w:eastAsia="Calibri"/>
              </w:rPr>
            </w:pPr>
            <w:r w:rsidRPr="009E00B0">
              <w:rPr>
                <w:rFonts w:eastAsia="Calibri"/>
              </w:rPr>
              <w:t>Value Stream &amp; Support Processes</w:t>
            </w:r>
          </w:p>
        </w:tc>
        <w:tc>
          <w:tcPr>
            <w:tcW w:w="1843" w:type="dxa"/>
            <w:shd w:val="clear" w:color="auto" w:fill="FFFFFF"/>
            <w:vAlign w:val="center"/>
          </w:tcPr>
          <w:p w14:paraId="03F1F5D5"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Operational Leanness</w:t>
            </w:r>
          </w:p>
        </w:tc>
        <w:tc>
          <w:tcPr>
            <w:tcW w:w="1417" w:type="dxa"/>
            <w:vMerge w:val="restart"/>
            <w:shd w:val="clear" w:color="auto" w:fill="FFFFFF"/>
            <w:vAlign w:val="center"/>
          </w:tcPr>
          <w:p w14:paraId="7470949D" w14:textId="77777777" w:rsidR="00333E7C" w:rsidRPr="009E00B0" w:rsidRDefault="00333E7C" w:rsidP="009E00B0">
            <w:pPr>
              <w:spacing w:before="80" w:after="80" w:line="0" w:lineRule="atLeast"/>
              <w:jc w:val="center"/>
              <w:rPr>
                <w:rFonts w:eastAsia="Calibri"/>
              </w:rPr>
            </w:pPr>
            <w:r w:rsidRPr="009E00B0">
              <w:rPr>
                <w:rFonts w:eastAsia="Calibri"/>
              </w:rPr>
              <w:t>Internal Business Processes</w:t>
            </w:r>
          </w:p>
        </w:tc>
        <w:tc>
          <w:tcPr>
            <w:tcW w:w="1418" w:type="dxa"/>
            <w:vMerge w:val="restart"/>
            <w:shd w:val="clear" w:color="auto" w:fill="FFFFFF"/>
            <w:vAlign w:val="center"/>
          </w:tcPr>
          <w:p w14:paraId="1E0239A2" w14:textId="77777777" w:rsidR="00333E7C" w:rsidRPr="009E00B0" w:rsidRDefault="00333E7C" w:rsidP="009E00B0">
            <w:pPr>
              <w:spacing w:before="80" w:after="80" w:line="0" w:lineRule="atLeast"/>
              <w:jc w:val="center"/>
              <w:rPr>
                <w:rFonts w:eastAsia="Calibri"/>
              </w:rPr>
            </w:pPr>
            <w:r w:rsidRPr="009E00B0">
              <w:rPr>
                <w:rFonts w:eastAsia="Calibri"/>
              </w:rPr>
              <w:t>Technical</w:t>
            </w:r>
          </w:p>
          <w:p w14:paraId="5669B339" w14:textId="77777777" w:rsidR="00333E7C" w:rsidRPr="009E00B0" w:rsidRDefault="00333E7C" w:rsidP="009E00B0">
            <w:pPr>
              <w:spacing w:before="80" w:after="80" w:line="0" w:lineRule="atLeast"/>
              <w:jc w:val="center"/>
              <w:rPr>
                <w:rFonts w:eastAsia="Calibri"/>
              </w:rPr>
            </w:pPr>
            <w:r w:rsidRPr="009E00B0">
              <w:rPr>
                <w:rFonts w:eastAsia="Calibri"/>
              </w:rPr>
              <w:t>Environmental</w:t>
            </w:r>
          </w:p>
        </w:tc>
      </w:tr>
      <w:tr w:rsidR="00333E7C" w:rsidRPr="009E00B0" w14:paraId="6AEB5B09" w14:textId="77777777" w:rsidTr="00A64D88">
        <w:trPr>
          <w:trHeight w:val="549"/>
          <w:jc w:val="center"/>
        </w:trPr>
        <w:tc>
          <w:tcPr>
            <w:tcW w:w="1838" w:type="dxa"/>
            <w:vMerge/>
            <w:shd w:val="clear" w:color="auto" w:fill="FFFFFF"/>
            <w:vAlign w:val="center"/>
          </w:tcPr>
          <w:p w14:paraId="0F39BC25" w14:textId="77777777" w:rsidR="00333E7C" w:rsidRPr="009E00B0" w:rsidRDefault="00333E7C" w:rsidP="009E00B0">
            <w:pPr>
              <w:spacing w:before="80" w:after="80" w:line="0" w:lineRule="atLeast"/>
              <w:jc w:val="center"/>
              <w:rPr>
                <w:rFonts w:eastAsia="Calibri"/>
              </w:rPr>
            </w:pPr>
          </w:p>
        </w:tc>
        <w:tc>
          <w:tcPr>
            <w:tcW w:w="2268" w:type="dxa"/>
            <w:vMerge/>
            <w:shd w:val="clear" w:color="auto" w:fill="FFFFFF"/>
            <w:vAlign w:val="center"/>
          </w:tcPr>
          <w:p w14:paraId="34F392C9" w14:textId="77777777" w:rsidR="00333E7C" w:rsidRPr="009E00B0" w:rsidRDefault="00333E7C" w:rsidP="009E00B0">
            <w:pPr>
              <w:spacing w:before="80" w:after="80" w:line="0" w:lineRule="atLeast"/>
              <w:jc w:val="center"/>
              <w:rPr>
                <w:rFonts w:eastAsia="Calibri"/>
              </w:rPr>
            </w:pPr>
          </w:p>
        </w:tc>
        <w:tc>
          <w:tcPr>
            <w:tcW w:w="1843" w:type="dxa"/>
            <w:shd w:val="clear" w:color="auto" w:fill="FFFFFF"/>
            <w:vAlign w:val="center"/>
          </w:tcPr>
          <w:p w14:paraId="7F52FD76"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Technological Alignment</w:t>
            </w:r>
          </w:p>
        </w:tc>
        <w:tc>
          <w:tcPr>
            <w:tcW w:w="1417" w:type="dxa"/>
            <w:vMerge/>
            <w:shd w:val="clear" w:color="auto" w:fill="FFFFFF"/>
            <w:vAlign w:val="center"/>
          </w:tcPr>
          <w:p w14:paraId="2DD28CE8" w14:textId="77777777" w:rsidR="00333E7C" w:rsidRPr="009E00B0" w:rsidRDefault="00333E7C" w:rsidP="009E00B0">
            <w:pPr>
              <w:spacing w:before="80" w:after="80" w:line="0" w:lineRule="atLeast"/>
              <w:rPr>
                <w:rFonts w:eastAsia="Calibri"/>
              </w:rPr>
            </w:pPr>
          </w:p>
        </w:tc>
        <w:tc>
          <w:tcPr>
            <w:tcW w:w="1418" w:type="dxa"/>
            <w:vMerge/>
            <w:shd w:val="clear" w:color="auto" w:fill="FFFFFF"/>
          </w:tcPr>
          <w:p w14:paraId="01746FA2" w14:textId="77777777" w:rsidR="00333E7C" w:rsidRPr="009E00B0" w:rsidRDefault="00333E7C" w:rsidP="009E00B0">
            <w:pPr>
              <w:spacing w:before="80" w:after="80" w:line="0" w:lineRule="atLeast"/>
              <w:rPr>
                <w:rFonts w:eastAsia="Calibri"/>
              </w:rPr>
            </w:pPr>
          </w:p>
        </w:tc>
      </w:tr>
      <w:tr w:rsidR="00333E7C" w:rsidRPr="009E00B0" w14:paraId="677D97E8" w14:textId="77777777" w:rsidTr="00A64D88">
        <w:trPr>
          <w:trHeight w:val="544"/>
          <w:jc w:val="center"/>
        </w:trPr>
        <w:tc>
          <w:tcPr>
            <w:tcW w:w="1838" w:type="dxa"/>
            <w:vMerge/>
            <w:shd w:val="clear" w:color="auto" w:fill="FFFFFF"/>
            <w:vAlign w:val="center"/>
          </w:tcPr>
          <w:p w14:paraId="62106985" w14:textId="77777777" w:rsidR="00333E7C" w:rsidRPr="009E00B0" w:rsidRDefault="00333E7C" w:rsidP="009E00B0">
            <w:pPr>
              <w:spacing w:before="80" w:after="80" w:line="0" w:lineRule="atLeast"/>
              <w:jc w:val="center"/>
              <w:rPr>
                <w:rFonts w:eastAsia="Calibri"/>
              </w:rPr>
            </w:pPr>
          </w:p>
        </w:tc>
        <w:tc>
          <w:tcPr>
            <w:tcW w:w="2268" w:type="dxa"/>
            <w:vMerge/>
            <w:shd w:val="clear" w:color="auto" w:fill="FFFFFF"/>
            <w:vAlign w:val="center"/>
          </w:tcPr>
          <w:p w14:paraId="2AAD056F" w14:textId="77777777" w:rsidR="00333E7C" w:rsidRPr="009E00B0" w:rsidRDefault="00333E7C" w:rsidP="009E00B0">
            <w:pPr>
              <w:spacing w:before="80" w:after="80" w:line="0" w:lineRule="atLeast"/>
              <w:jc w:val="center"/>
              <w:rPr>
                <w:rFonts w:eastAsia="Calibri"/>
              </w:rPr>
            </w:pPr>
          </w:p>
        </w:tc>
        <w:tc>
          <w:tcPr>
            <w:tcW w:w="1843" w:type="dxa"/>
            <w:shd w:val="clear" w:color="auto" w:fill="FFFFFF"/>
            <w:vAlign w:val="center"/>
          </w:tcPr>
          <w:p w14:paraId="4AB63F4D" w14:textId="77777777" w:rsidR="00333E7C" w:rsidRPr="009E00B0" w:rsidRDefault="00333E7C" w:rsidP="009E00B0">
            <w:pPr>
              <w:tabs>
                <w:tab w:val="left" w:pos="1083"/>
              </w:tabs>
              <w:spacing w:before="80" w:after="80" w:line="0" w:lineRule="atLeast"/>
              <w:jc w:val="center"/>
              <w:rPr>
                <w:rFonts w:eastAsia="Calibri"/>
                <w:b/>
              </w:rPr>
            </w:pPr>
            <w:r w:rsidRPr="009E00B0">
              <w:rPr>
                <w:rFonts w:eastAsia="Calibri"/>
                <w:b/>
              </w:rPr>
              <w:t>Facilities Suitability</w:t>
            </w:r>
          </w:p>
        </w:tc>
        <w:tc>
          <w:tcPr>
            <w:tcW w:w="1417" w:type="dxa"/>
            <w:vMerge/>
            <w:shd w:val="clear" w:color="auto" w:fill="FFFFFF"/>
            <w:vAlign w:val="center"/>
          </w:tcPr>
          <w:p w14:paraId="4CA74DDB" w14:textId="77777777" w:rsidR="00333E7C" w:rsidRPr="009E00B0" w:rsidRDefault="00333E7C" w:rsidP="009E00B0">
            <w:pPr>
              <w:spacing w:before="80" w:after="80" w:line="0" w:lineRule="atLeast"/>
              <w:jc w:val="center"/>
              <w:rPr>
                <w:rFonts w:eastAsia="Calibri"/>
              </w:rPr>
            </w:pPr>
          </w:p>
        </w:tc>
        <w:tc>
          <w:tcPr>
            <w:tcW w:w="1418" w:type="dxa"/>
            <w:vMerge/>
            <w:shd w:val="clear" w:color="auto" w:fill="FFFFFF"/>
          </w:tcPr>
          <w:p w14:paraId="49629F14" w14:textId="77777777" w:rsidR="00333E7C" w:rsidRPr="009E00B0" w:rsidRDefault="00333E7C" w:rsidP="009E00B0">
            <w:pPr>
              <w:spacing w:before="80" w:after="80" w:line="0" w:lineRule="atLeast"/>
              <w:jc w:val="center"/>
              <w:rPr>
                <w:rFonts w:eastAsia="Calibri"/>
              </w:rPr>
            </w:pPr>
          </w:p>
        </w:tc>
      </w:tr>
    </w:tbl>
    <w:p w14:paraId="37723731" w14:textId="77777777" w:rsidR="009E00B0" w:rsidRDefault="009E00B0" w:rsidP="009E00B0">
      <w:pPr>
        <w:pStyle w:val="ab"/>
        <w:spacing w:line="276" w:lineRule="auto"/>
        <w:rPr>
          <w:sz w:val="20"/>
          <w:szCs w:val="20"/>
        </w:rPr>
        <w:sectPr w:rsidR="009E00B0" w:rsidSect="00FD01EC">
          <w:type w:val="continuous"/>
          <w:pgSz w:w="11906" w:h="16838"/>
          <w:pgMar w:top="1417" w:right="1701" w:bottom="1417" w:left="1701" w:header="708" w:footer="708" w:gutter="0"/>
          <w:cols w:space="708"/>
          <w:docGrid w:linePitch="360"/>
        </w:sectPr>
      </w:pPr>
    </w:p>
    <w:p w14:paraId="52128364" w14:textId="77777777" w:rsidR="009E00B0" w:rsidRDefault="005A2470" w:rsidP="009E00B0">
      <w:pPr>
        <w:pStyle w:val="ab"/>
        <w:spacing w:line="276" w:lineRule="auto"/>
        <w:rPr>
          <w:sz w:val="20"/>
          <w:szCs w:val="20"/>
        </w:rPr>
        <w:sectPr w:rsidR="009E00B0" w:rsidSect="009E00B0">
          <w:type w:val="continuous"/>
          <w:pgSz w:w="11906" w:h="16838"/>
          <w:pgMar w:top="1417" w:right="1701" w:bottom="1417" w:left="1701" w:header="708" w:footer="708" w:gutter="0"/>
          <w:cols w:num="2" w:space="708"/>
          <w:docGrid w:linePitch="360"/>
        </w:sectPr>
      </w:pPr>
      <w:r w:rsidRPr="009E00B0">
        <w:rPr>
          <w:sz w:val="20"/>
          <w:szCs w:val="20"/>
        </w:rPr>
        <w:t>Once the</w:t>
      </w:r>
      <w:r w:rsidR="005F7B96" w:rsidRPr="009E00B0">
        <w:rPr>
          <w:sz w:val="20"/>
          <w:szCs w:val="20"/>
        </w:rPr>
        <w:t xml:space="preserve"> definition of th</w:t>
      </w:r>
      <w:r w:rsidRPr="009E00B0">
        <w:rPr>
          <w:sz w:val="20"/>
          <w:szCs w:val="20"/>
        </w:rPr>
        <w:t>e seven competitiveness drivers and after</w:t>
      </w:r>
      <w:r w:rsidR="005F7B96" w:rsidRPr="009E00B0">
        <w:rPr>
          <w:sz w:val="20"/>
          <w:szCs w:val="20"/>
        </w:rPr>
        <w:t xml:space="preserve"> more detailed analysis, reflections and workshops with experts</w:t>
      </w:r>
      <w:r w:rsidRPr="009E00B0">
        <w:rPr>
          <w:sz w:val="20"/>
          <w:szCs w:val="20"/>
        </w:rPr>
        <w:t>,</w:t>
      </w:r>
      <w:r w:rsidR="005F7B96" w:rsidRPr="009E00B0">
        <w:rPr>
          <w:sz w:val="20"/>
          <w:szCs w:val="20"/>
        </w:rPr>
        <w:t xml:space="preserve"> 14 </w:t>
      </w:r>
      <w:r w:rsidR="005F7B96" w:rsidRPr="009E00B0">
        <w:rPr>
          <w:sz w:val="20"/>
          <w:szCs w:val="20"/>
        </w:rPr>
        <w:t xml:space="preserve">competitiveness elements </w:t>
      </w:r>
      <w:r w:rsidRPr="009E00B0">
        <w:rPr>
          <w:sz w:val="20"/>
          <w:szCs w:val="20"/>
        </w:rPr>
        <w:t xml:space="preserve">were </w:t>
      </w:r>
      <w:r w:rsidR="005F7B96" w:rsidRPr="009E00B0">
        <w:rPr>
          <w:sz w:val="20"/>
          <w:szCs w:val="20"/>
        </w:rPr>
        <w:t>established, as well as 24 evaluation criteria (</w:t>
      </w:r>
      <w:r w:rsidR="00AB575C" w:rsidRPr="009E00B0">
        <w:rPr>
          <w:sz w:val="20"/>
          <w:szCs w:val="20"/>
        </w:rPr>
        <w:t xml:space="preserve">sources of enhancement) – </w:t>
      </w:r>
      <w:r w:rsidR="00732400" w:rsidRPr="009E00B0">
        <w:rPr>
          <w:sz w:val="20"/>
          <w:szCs w:val="20"/>
        </w:rPr>
        <w:t>Table 2.</w:t>
      </w:r>
    </w:p>
    <w:p w14:paraId="3371E332" w14:textId="33BC18DC" w:rsidR="00201656" w:rsidRPr="009E00B0" w:rsidRDefault="00201656" w:rsidP="009E00B0">
      <w:pPr>
        <w:pStyle w:val="ab"/>
        <w:spacing w:line="276" w:lineRule="auto"/>
        <w:rPr>
          <w:sz w:val="20"/>
          <w:szCs w:val="20"/>
        </w:rPr>
      </w:pPr>
    </w:p>
    <w:p w14:paraId="3325D4C6" w14:textId="77777777" w:rsidR="00732400" w:rsidRPr="00732400" w:rsidRDefault="00732400" w:rsidP="00C751FA">
      <w:pPr>
        <w:pStyle w:val="ab"/>
        <w:rPr>
          <w:sz w:val="16"/>
        </w:rPr>
      </w:pPr>
    </w:p>
    <w:p w14:paraId="4D608114" w14:textId="5017C7AA" w:rsidR="004D59A0" w:rsidRDefault="004D59A0" w:rsidP="00C751FA">
      <w:pPr>
        <w:pStyle w:val="ab"/>
        <w:rPr>
          <w:i/>
          <w:sz w:val="20"/>
        </w:rPr>
      </w:pPr>
    </w:p>
    <w:p w14:paraId="4F351966" w14:textId="77777777" w:rsidR="00A324B2" w:rsidRPr="009E00B0" w:rsidRDefault="00A324B2" w:rsidP="00A324B2">
      <w:pPr>
        <w:pStyle w:val="ab"/>
        <w:ind w:left="-426"/>
        <w:rPr>
          <w:lang w:val="pt-PT"/>
        </w:rPr>
      </w:pPr>
      <w:r w:rsidRPr="00AF573A">
        <w:rPr>
          <w:b/>
          <w:sz w:val="20"/>
        </w:rPr>
        <w:lastRenderedPageBreak/>
        <w:t>Table 2</w:t>
      </w:r>
      <w:r w:rsidRPr="009E00B0">
        <w:rPr>
          <w:sz w:val="20"/>
        </w:rPr>
        <w:t xml:space="preserve"> – Competitiveness elements, sources of enhancement and leverage factors by each competitiveness driver of the Sustainable Competitiveness Evaluation Model based on innovation</w:t>
      </w:r>
    </w:p>
    <w:p w14:paraId="0A44AB3E" w14:textId="2B477A82" w:rsidR="00164F62" w:rsidRPr="00AF573A" w:rsidRDefault="00164F62" w:rsidP="00AF573A">
      <w:pPr>
        <w:pStyle w:val="ab"/>
        <w:spacing w:line="276" w:lineRule="auto"/>
        <w:ind w:left="-426"/>
        <w:rPr>
          <w:sz w:val="20"/>
          <w:szCs w:val="20"/>
        </w:rPr>
      </w:pPr>
      <w:r w:rsidRPr="00AF573A">
        <w:rPr>
          <w:noProof/>
          <w:sz w:val="20"/>
          <w:szCs w:val="20"/>
          <w:lang w:val="pt-PT" w:eastAsia="pt-PT"/>
        </w:rPr>
        <w:drawing>
          <wp:inline distT="0" distB="0" distL="0" distR="0" wp14:anchorId="712F50EF" wp14:editId="3F40C30E">
            <wp:extent cx="6219825" cy="4369006"/>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39533" cy="4382850"/>
                    </a:xfrm>
                    <a:prstGeom prst="rect">
                      <a:avLst/>
                    </a:prstGeom>
                    <a:noFill/>
                    <a:ln>
                      <a:noFill/>
                    </a:ln>
                  </pic:spPr>
                </pic:pic>
              </a:graphicData>
            </a:graphic>
          </wp:inline>
        </w:drawing>
      </w:r>
    </w:p>
    <w:p w14:paraId="076A2E3D" w14:textId="77777777" w:rsidR="00164F62" w:rsidRPr="00AF573A" w:rsidRDefault="00E53665" w:rsidP="00AF573A">
      <w:pPr>
        <w:pStyle w:val="ab"/>
        <w:spacing w:line="276" w:lineRule="auto"/>
        <w:ind w:left="-426"/>
        <w:rPr>
          <w:sz w:val="20"/>
          <w:szCs w:val="20"/>
        </w:rPr>
      </w:pPr>
      <w:r w:rsidRPr="00AF573A">
        <w:rPr>
          <w:noProof/>
          <w:sz w:val="20"/>
          <w:szCs w:val="20"/>
          <w:lang w:val="pt-PT" w:eastAsia="pt-PT"/>
        </w:rPr>
        <w:drawing>
          <wp:inline distT="0" distB="0" distL="0" distR="0" wp14:anchorId="3287CF05" wp14:editId="1F1DD1FA">
            <wp:extent cx="6220054" cy="1781175"/>
            <wp:effectExtent l="0" t="0" r="9525"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8485" cy="1792180"/>
                    </a:xfrm>
                    <a:prstGeom prst="rect">
                      <a:avLst/>
                    </a:prstGeom>
                    <a:noFill/>
                    <a:ln>
                      <a:noFill/>
                    </a:ln>
                  </pic:spPr>
                </pic:pic>
              </a:graphicData>
            </a:graphic>
          </wp:inline>
        </w:drawing>
      </w:r>
    </w:p>
    <w:p w14:paraId="0F7C7CEE" w14:textId="77777777" w:rsidR="00DD035C" w:rsidRPr="00AF573A" w:rsidRDefault="00670B59" w:rsidP="00AF573A">
      <w:pPr>
        <w:pStyle w:val="ab"/>
        <w:spacing w:line="276" w:lineRule="auto"/>
        <w:ind w:left="-426"/>
        <w:rPr>
          <w:sz w:val="20"/>
          <w:szCs w:val="20"/>
        </w:rPr>
      </w:pPr>
      <w:r w:rsidRPr="00AF573A">
        <w:rPr>
          <w:noProof/>
          <w:sz w:val="20"/>
          <w:szCs w:val="20"/>
          <w:lang w:val="pt-PT" w:eastAsia="pt-PT"/>
        </w:rPr>
        <w:drawing>
          <wp:inline distT="0" distB="0" distL="0" distR="0" wp14:anchorId="560D3185" wp14:editId="5331A304">
            <wp:extent cx="6210256" cy="1304925"/>
            <wp:effectExtent l="0" t="0" r="635"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9666" cy="1313206"/>
                    </a:xfrm>
                    <a:prstGeom prst="rect">
                      <a:avLst/>
                    </a:prstGeom>
                    <a:noFill/>
                    <a:ln>
                      <a:noFill/>
                    </a:ln>
                  </pic:spPr>
                </pic:pic>
              </a:graphicData>
            </a:graphic>
          </wp:inline>
        </w:drawing>
      </w:r>
    </w:p>
    <w:p w14:paraId="35D174BA" w14:textId="77777777" w:rsidR="00670B59" w:rsidRPr="00AF573A" w:rsidRDefault="00670B59" w:rsidP="00AF573A">
      <w:pPr>
        <w:pStyle w:val="ab"/>
        <w:spacing w:before="0" w:after="0" w:line="276" w:lineRule="auto"/>
        <w:ind w:left="-425"/>
        <w:rPr>
          <w:sz w:val="20"/>
          <w:szCs w:val="20"/>
        </w:rPr>
      </w:pPr>
      <w:r w:rsidRPr="00AF573A">
        <w:rPr>
          <w:noProof/>
          <w:sz w:val="20"/>
          <w:szCs w:val="20"/>
          <w:lang w:val="pt-PT" w:eastAsia="pt-PT"/>
        </w:rPr>
        <w:lastRenderedPageBreak/>
        <w:drawing>
          <wp:inline distT="0" distB="0" distL="0" distR="0" wp14:anchorId="3247B947" wp14:editId="049BB70F">
            <wp:extent cx="6209665" cy="2384227"/>
            <wp:effectExtent l="0" t="0" r="635"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43042" cy="2397042"/>
                    </a:xfrm>
                    <a:prstGeom prst="rect">
                      <a:avLst/>
                    </a:prstGeom>
                    <a:noFill/>
                    <a:ln>
                      <a:noFill/>
                    </a:ln>
                  </pic:spPr>
                </pic:pic>
              </a:graphicData>
            </a:graphic>
          </wp:inline>
        </w:drawing>
      </w:r>
    </w:p>
    <w:p w14:paraId="3F77DB3D" w14:textId="77777777" w:rsidR="000D635E" w:rsidRPr="00AF573A" w:rsidRDefault="000D635E" w:rsidP="00AF573A">
      <w:pPr>
        <w:pStyle w:val="ab"/>
        <w:spacing w:before="0" w:after="0" w:line="276" w:lineRule="auto"/>
        <w:rPr>
          <w:sz w:val="20"/>
          <w:szCs w:val="20"/>
        </w:rPr>
      </w:pPr>
    </w:p>
    <w:p w14:paraId="74227A90" w14:textId="77777777" w:rsidR="000D635E" w:rsidRPr="00AF573A" w:rsidRDefault="000D635E" w:rsidP="00AF573A">
      <w:pPr>
        <w:pStyle w:val="ab"/>
        <w:spacing w:line="276" w:lineRule="auto"/>
        <w:ind w:left="-426"/>
        <w:rPr>
          <w:sz w:val="20"/>
          <w:szCs w:val="20"/>
        </w:rPr>
      </w:pPr>
      <w:r w:rsidRPr="00AF573A">
        <w:rPr>
          <w:noProof/>
          <w:sz w:val="20"/>
          <w:szCs w:val="20"/>
          <w:lang w:val="pt-PT" w:eastAsia="pt-PT"/>
        </w:rPr>
        <w:drawing>
          <wp:inline distT="0" distB="0" distL="0" distR="0" wp14:anchorId="64CA5AE4" wp14:editId="420DCF9E">
            <wp:extent cx="6209665" cy="2337026"/>
            <wp:effectExtent l="0" t="0" r="635" b="635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31724" cy="2345328"/>
                    </a:xfrm>
                    <a:prstGeom prst="rect">
                      <a:avLst/>
                    </a:prstGeom>
                    <a:noFill/>
                    <a:ln>
                      <a:noFill/>
                    </a:ln>
                  </pic:spPr>
                </pic:pic>
              </a:graphicData>
            </a:graphic>
          </wp:inline>
        </w:drawing>
      </w:r>
    </w:p>
    <w:p w14:paraId="426480C5" w14:textId="77777777" w:rsidR="00670B59" w:rsidRPr="00AF573A" w:rsidRDefault="00670B59" w:rsidP="00AF573A">
      <w:pPr>
        <w:pStyle w:val="ab"/>
        <w:spacing w:line="276" w:lineRule="auto"/>
        <w:ind w:left="-426"/>
        <w:rPr>
          <w:sz w:val="20"/>
          <w:szCs w:val="20"/>
        </w:rPr>
      </w:pPr>
      <w:r w:rsidRPr="00AF573A">
        <w:rPr>
          <w:noProof/>
          <w:sz w:val="20"/>
          <w:szCs w:val="20"/>
          <w:lang w:val="pt-PT" w:eastAsia="pt-PT"/>
        </w:rPr>
        <w:drawing>
          <wp:inline distT="0" distB="0" distL="0" distR="0" wp14:anchorId="26E2C4BB" wp14:editId="64A1F5B9">
            <wp:extent cx="6209665" cy="1316663"/>
            <wp:effectExtent l="0" t="0" r="635"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4563" cy="1321942"/>
                    </a:xfrm>
                    <a:prstGeom prst="rect">
                      <a:avLst/>
                    </a:prstGeom>
                    <a:noFill/>
                    <a:ln>
                      <a:noFill/>
                    </a:ln>
                  </pic:spPr>
                </pic:pic>
              </a:graphicData>
            </a:graphic>
          </wp:inline>
        </w:drawing>
      </w:r>
    </w:p>
    <w:p w14:paraId="24ACEAB9" w14:textId="6279927A" w:rsidR="00670B59" w:rsidRPr="00AF573A" w:rsidRDefault="005A1340" w:rsidP="00AF573A">
      <w:pPr>
        <w:pStyle w:val="ab"/>
        <w:spacing w:line="276" w:lineRule="auto"/>
        <w:ind w:left="-426"/>
        <w:rPr>
          <w:noProof/>
          <w:sz w:val="20"/>
          <w:szCs w:val="20"/>
          <w:lang w:val="pt-PT" w:eastAsia="pt-PT"/>
        </w:rPr>
      </w:pPr>
      <w:r w:rsidRPr="00AF573A">
        <w:rPr>
          <w:noProof/>
          <w:sz w:val="20"/>
          <w:szCs w:val="20"/>
          <w:lang w:val="pt-PT" w:eastAsia="pt-PT"/>
        </w:rPr>
        <w:drawing>
          <wp:inline distT="0" distB="0" distL="0" distR="0" wp14:anchorId="345CB876" wp14:editId="641D632D">
            <wp:extent cx="6220577" cy="1200150"/>
            <wp:effectExtent l="0" t="0" r="889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8184" cy="1205476"/>
                    </a:xfrm>
                    <a:prstGeom prst="rect">
                      <a:avLst/>
                    </a:prstGeom>
                    <a:noFill/>
                    <a:ln>
                      <a:noFill/>
                    </a:ln>
                  </pic:spPr>
                </pic:pic>
              </a:graphicData>
            </a:graphic>
          </wp:inline>
        </w:drawing>
      </w:r>
    </w:p>
    <w:p w14:paraId="7C04C0DD" w14:textId="77777777" w:rsidR="00AF573A" w:rsidRDefault="00AF573A" w:rsidP="00AF573A">
      <w:pPr>
        <w:pStyle w:val="ab"/>
        <w:spacing w:line="276" w:lineRule="auto"/>
        <w:rPr>
          <w:sz w:val="20"/>
          <w:szCs w:val="20"/>
        </w:rPr>
        <w:sectPr w:rsidR="00AF573A" w:rsidSect="00FD01EC">
          <w:type w:val="continuous"/>
          <w:pgSz w:w="11906" w:h="16838"/>
          <w:pgMar w:top="1417" w:right="1701" w:bottom="1417" w:left="1701" w:header="708" w:footer="708" w:gutter="0"/>
          <w:cols w:space="708"/>
          <w:docGrid w:linePitch="360"/>
        </w:sectPr>
      </w:pPr>
    </w:p>
    <w:p w14:paraId="25FF2924" w14:textId="77777777" w:rsidR="00AF573A" w:rsidRDefault="00AF573A">
      <w:pPr>
        <w:spacing w:after="160" w:line="259" w:lineRule="auto"/>
        <w:rPr>
          <w:rFonts w:eastAsiaTheme="minorHAnsi"/>
          <w:lang w:eastAsia="en-US"/>
        </w:rPr>
      </w:pPr>
      <w:r>
        <w:br w:type="page"/>
      </w:r>
    </w:p>
    <w:p w14:paraId="18B576ED" w14:textId="20DBA96B" w:rsidR="00732400" w:rsidRPr="00AF573A" w:rsidRDefault="00732400" w:rsidP="00AF573A">
      <w:pPr>
        <w:pStyle w:val="ab"/>
        <w:spacing w:line="276" w:lineRule="auto"/>
        <w:rPr>
          <w:sz w:val="20"/>
          <w:szCs w:val="20"/>
        </w:rPr>
      </w:pPr>
      <w:r w:rsidRPr="00AF573A">
        <w:rPr>
          <w:sz w:val="20"/>
          <w:szCs w:val="20"/>
        </w:rPr>
        <w:lastRenderedPageBreak/>
        <w:t xml:space="preserve">Thus, the model allow the evaluation of a company’s innovation competitiveness by </w:t>
      </w:r>
      <w:proofErr w:type="gramStart"/>
      <w:r w:rsidRPr="00AF573A">
        <w:rPr>
          <w:sz w:val="20"/>
          <w:szCs w:val="20"/>
        </w:rPr>
        <w:t>analyzing  the</w:t>
      </w:r>
      <w:proofErr w:type="gramEnd"/>
      <w:r w:rsidRPr="00AF573A">
        <w:rPr>
          <w:sz w:val="20"/>
          <w:szCs w:val="20"/>
        </w:rPr>
        <w:t xml:space="preserve"> level of compliance and evidences of the ability to comply with each of the requirements that express each leverage factor </w:t>
      </w:r>
      <w:r w:rsidR="005A2470" w:rsidRPr="00AF573A">
        <w:rPr>
          <w:sz w:val="20"/>
          <w:szCs w:val="20"/>
        </w:rPr>
        <w:t xml:space="preserve">for each evaluation criteria </w:t>
      </w:r>
      <w:r w:rsidR="00AB575C" w:rsidRPr="00AF573A">
        <w:rPr>
          <w:sz w:val="20"/>
          <w:szCs w:val="20"/>
        </w:rPr>
        <w:t>(</w:t>
      </w:r>
      <w:r w:rsidRPr="00AF573A">
        <w:rPr>
          <w:sz w:val="20"/>
          <w:szCs w:val="20"/>
        </w:rPr>
        <w:t>Table 2).</w:t>
      </w:r>
    </w:p>
    <w:p w14:paraId="73370585" w14:textId="77777777" w:rsidR="00AF573A" w:rsidRDefault="00732400" w:rsidP="00AF573A">
      <w:pPr>
        <w:pStyle w:val="ab"/>
        <w:spacing w:line="276" w:lineRule="auto"/>
        <w:rPr>
          <w:sz w:val="20"/>
          <w:szCs w:val="20"/>
        </w:rPr>
        <w:sectPr w:rsidR="00AF573A" w:rsidSect="00AF573A">
          <w:type w:val="continuous"/>
          <w:pgSz w:w="11906" w:h="16838"/>
          <w:pgMar w:top="1417" w:right="1701" w:bottom="1417" w:left="1701" w:header="708" w:footer="708" w:gutter="0"/>
          <w:cols w:num="2" w:space="708"/>
          <w:docGrid w:linePitch="360"/>
        </w:sectPr>
      </w:pPr>
      <w:r w:rsidRPr="00AF573A">
        <w:rPr>
          <w:sz w:val="20"/>
          <w:szCs w:val="20"/>
        </w:rPr>
        <w:t>Even so, we still evaluating</w:t>
      </w:r>
      <w:r w:rsidR="005A2470" w:rsidRPr="00AF573A">
        <w:rPr>
          <w:sz w:val="20"/>
          <w:szCs w:val="20"/>
        </w:rPr>
        <w:t xml:space="preserve"> resources. I</w:t>
      </w:r>
      <w:r w:rsidRPr="00AF573A">
        <w:rPr>
          <w:sz w:val="20"/>
          <w:szCs w:val="20"/>
        </w:rPr>
        <w:t xml:space="preserve">n </w:t>
      </w:r>
      <w:proofErr w:type="gramStart"/>
      <w:r w:rsidRPr="00AF573A">
        <w:rPr>
          <w:sz w:val="20"/>
          <w:szCs w:val="20"/>
        </w:rPr>
        <w:t>fact</w:t>
      </w:r>
      <w:proofErr w:type="gramEnd"/>
      <w:r w:rsidRPr="00AF573A">
        <w:rPr>
          <w:sz w:val="20"/>
          <w:szCs w:val="20"/>
        </w:rPr>
        <w:t xml:space="preserve"> </w:t>
      </w:r>
      <w:r w:rsidR="005A2470" w:rsidRPr="00AF573A">
        <w:rPr>
          <w:sz w:val="20"/>
          <w:szCs w:val="20"/>
        </w:rPr>
        <w:t>we just</w:t>
      </w:r>
      <w:r w:rsidRPr="00AF573A">
        <w:rPr>
          <w:sz w:val="20"/>
          <w:szCs w:val="20"/>
        </w:rPr>
        <w:t xml:space="preserve"> </w:t>
      </w:r>
      <w:r w:rsidR="005A2470" w:rsidRPr="00AF573A">
        <w:rPr>
          <w:sz w:val="20"/>
          <w:szCs w:val="20"/>
        </w:rPr>
        <w:t xml:space="preserve">are capable to evaluate </w:t>
      </w:r>
      <w:r w:rsidRPr="00AF573A">
        <w:rPr>
          <w:sz w:val="20"/>
          <w:szCs w:val="20"/>
        </w:rPr>
        <w:t xml:space="preserve">the company’s ability </w:t>
      </w:r>
      <w:r w:rsidRPr="00AF573A">
        <w:rPr>
          <w:sz w:val="20"/>
          <w:szCs w:val="20"/>
        </w:rPr>
        <w:t xml:space="preserve">to innovate (how the company manage their means to reduce innovation time and to enlarge innovation protection time). So, to complete de evaluation model, the innovation performance measures should </w:t>
      </w:r>
      <w:r w:rsidR="005A2470" w:rsidRPr="00AF573A">
        <w:rPr>
          <w:sz w:val="20"/>
          <w:szCs w:val="20"/>
        </w:rPr>
        <w:t xml:space="preserve">also </w:t>
      </w:r>
      <w:r w:rsidRPr="00AF573A">
        <w:rPr>
          <w:sz w:val="20"/>
          <w:szCs w:val="20"/>
        </w:rPr>
        <w:t xml:space="preserve">be defined. With this purpose, among a wide range of indicators applicable, </w:t>
      </w:r>
      <w:r w:rsidR="005A2470" w:rsidRPr="00AF573A">
        <w:rPr>
          <w:sz w:val="20"/>
          <w:szCs w:val="20"/>
        </w:rPr>
        <w:t>we</w:t>
      </w:r>
      <w:r w:rsidRPr="00AF573A">
        <w:rPr>
          <w:sz w:val="20"/>
          <w:szCs w:val="20"/>
        </w:rPr>
        <w:t xml:space="preserve"> selected 18 indicat</w:t>
      </w:r>
      <w:r w:rsidR="00AB575C" w:rsidRPr="00AF573A">
        <w:rPr>
          <w:sz w:val="20"/>
          <w:szCs w:val="20"/>
        </w:rPr>
        <w:t>ors to be part of the model (</w:t>
      </w:r>
      <w:r w:rsidRPr="00AF573A">
        <w:rPr>
          <w:sz w:val="20"/>
          <w:szCs w:val="20"/>
        </w:rPr>
        <w:t>Table 3)</w:t>
      </w:r>
      <w:r w:rsidR="00AB575C" w:rsidRPr="00AF573A">
        <w:rPr>
          <w:sz w:val="20"/>
          <w:szCs w:val="20"/>
        </w:rPr>
        <w:t>, which should be measured annually.</w:t>
      </w:r>
    </w:p>
    <w:p w14:paraId="69389352" w14:textId="5B428E0A" w:rsidR="00732400" w:rsidRDefault="00732400" w:rsidP="00732400">
      <w:pPr>
        <w:pStyle w:val="ab"/>
        <w:rPr>
          <w:sz w:val="20"/>
        </w:rPr>
      </w:pPr>
    </w:p>
    <w:p w14:paraId="23500581" w14:textId="552351D9" w:rsidR="00F014CE" w:rsidRPr="00AF573A" w:rsidRDefault="00F014CE" w:rsidP="00732400">
      <w:pPr>
        <w:pStyle w:val="ab"/>
        <w:rPr>
          <w:sz w:val="20"/>
        </w:rPr>
      </w:pPr>
      <w:r w:rsidRPr="00AF573A">
        <w:rPr>
          <w:b/>
          <w:sz w:val="20"/>
        </w:rPr>
        <w:t>Table 3</w:t>
      </w:r>
      <w:r w:rsidRPr="00AF573A">
        <w:rPr>
          <w:sz w:val="20"/>
        </w:rPr>
        <w:t xml:space="preserve"> – Innovation indicators of the Sustainable Competitiveness Evaluation Model based on innovation</w:t>
      </w:r>
    </w:p>
    <w:p w14:paraId="3A789F29" w14:textId="77777777" w:rsidR="00164F62" w:rsidRPr="002A7636" w:rsidRDefault="00DD035C" w:rsidP="00164F62">
      <w:pPr>
        <w:rPr>
          <w:rFonts w:eastAsia="Times New Roman"/>
          <w:b/>
          <w:color w:val="000000"/>
        </w:rPr>
      </w:pPr>
      <w:r>
        <w:rPr>
          <w:rFonts w:eastAsia="Times New Roman"/>
          <w:b/>
          <w:color w:val="000000"/>
        </w:rPr>
        <w:t>C</w:t>
      </w:r>
      <w:r w:rsidR="00164F62">
        <w:rPr>
          <w:rFonts w:eastAsia="Times New Roman"/>
          <w:b/>
          <w:color w:val="000000"/>
        </w:rPr>
        <w:t>orporate Behavior (4</w:t>
      </w:r>
      <w:r w:rsidR="00164F62" w:rsidRPr="002A7636">
        <w:rPr>
          <w:rFonts w:eastAsia="Times New Roman"/>
          <w:b/>
          <w:color w:val="000000"/>
        </w:rPr>
        <w:t>)</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842C9B" w14:paraId="3085107D" w14:textId="77777777" w:rsidTr="00DD035C">
        <w:trPr>
          <w:trHeight w:val="403"/>
        </w:trPr>
        <w:tc>
          <w:tcPr>
            <w:tcW w:w="1980" w:type="dxa"/>
            <w:vMerge w:val="restart"/>
            <w:tcBorders>
              <w:top w:val="single" w:sz="4" w:space="0" w:color="auto"/>
              <w:left w:val="single" w:sz="4" w:space="0" w:color="auto"/>
              <w:right w:val="single" w:sz="4" w:space="0" w:color="auto"/>
            </w:tcBorders>
            <w:shd w:val="clear" w:color="000000" w:fill="FFFFFF"/>
            <w:vAlign w:val="center"/>
          </w:tcPr>
          <w:p w14:paraId="407EB0BA" w14:textId="77777777" w:rsidR="00164F62" w:rsidRPr="005C38A0" w:rsidRDefault="00164F62" w:rsidP="00A64D88">
            <w:pPr>
              <w:jc w:val="center"/>
              <w:rPr>
                <w:rFonts w:eastAsia="Times New Roman"/>
                <w:b/>
                <w:color w:val="000000"/>
              </w:rPr>
            </w:pPr>
            <w:r>
              <w:rPr>
                <w:rFonts w:eastAsia="Times New Roman"/>
                <w:b/>
                <w:color w:val="000000"/>
              </w:rPr>
              <w:t>Impac</w:t>
            </w:r>
            <w:r w:rsidRPr="005C38A0">
              <w:rPr>
                <w:rFonts w:eastAsia="Times New Roman"/>
                <w:b/>
                <w:color w:val="000000"/>
              </w:rPr>
              <w:t>t Indicator</w:t>
            </w:r>
          </w:p>
        </w:tc>
        <w:tc>
          <w:tcPr>
            <w:tcW w:w="1984" w:type="dxa"/>
            <w:vMerge w:val="restart"/>
            <w:tcBorders>
              <w:top w:val="single" w:sz="4" w:space="0" w:color="auto"/>
              <w:left w:val="nil"/>
              <w:right w:val="single" w:sz="4" w:space="0" w:color="auto"/>
            </w:tcBorders>
            <w:shd w:val="clear" w:color="000000" w:fill="FFFFFF"/>
            <w:vAlign w:val="center"/>
          </w:tcPr>
          <w:p w14:paraId="574E9853" w14:textId="77777777" w:rsidR="00164F62" w:rsidRDefault="00164F62" w:rsidP="00A64D88">
            <w:pPr>
              <w:jc w:val="center"/>
              <w:rPr>
                <w:rFonts w:eastAsia="Times New Roman"/>
                <w:b/>
                <w:color w:val="000000"/>
              </w:rPr>
            </w:pPr>
            <w:r>
              <w:rPr>
                <w:rFonts w:eastAsia="Times New Roman"/>
                <w:b/>
                <w:color w:val="000000"/>
              </w:rPr>
              <w:t>Evaluation Purpose</w:t>
            </w:r>
          </w:p>
          <w:p w14:paraId="7D36904D" w14:textId="77777777" w:rsidR="00164F62" w:rsidRPr="00881041" w:rsidRDefault="00164F62" w:rsidP="00A64D88">
            <w:pPr>
              <w:jc w:val="center"/>
              <w:rPr>
                <w:rFonts w:eastAsia="Times New Roman"/>
                <w:color w:val="000000"/>
              </w:rPr>
            </w:pPr>
            <w:r w:rsidRPr="00881041">
              <w:rPr>
                <w:rFonts w:eastAsia="Times New Roman"/>
                <w:color w:val="000000"/>
                <w:sz w:val="16"/>
              </w:rPr>
              <w:t>(what is the company</w:t>
            </w:r>
            <w:r>
              <w:rPr>
                <w:rFonts w:eastAsia="Times New Roman"/>
                <w:color w:val="000000"/>
                <w:sz w:val="16"/>
              </w:rPr>
              <w:t>’s</w:t>
            </w:r>
            <w:r w:rsidRPr="00881041">
              <w:rPr>
                <w:rFonts w:eastAsia="Times New Roman"/>
                <w:color w:val="000000"/>
                <w:sz w:val="16"/>
              </w:rPr>
              <w:t xml:space="preserve"> …)</w:t>
            </w:r>
          </w:p>
        </w:tc>
        <w:tc>
          <w:tcPr>
            <w:tcW w:w="2410" w:type="dxa"/>
            <w:vMerge w:val="restart"/>
            <w:tcBorders>
              <w:top w:val="single" w:sz="4" w:space="0" w:color="auto"/>
              <w:left w:val="nil"/>
              <w:right w:val="single" w:sz="4" w:space="0" w:color="auto"/>
            </w:tcBorders>
            <w:shd w:val="clear" w:color="000000" w:fill="FFFFFF"/>
            <w:vAlign w:val="center"/>
          </w:tcPr>
          <w:p w14:paraId="314AC63F" w14:textId="77777777" w:rsidR="00164F62" w:rsidRDefault="00164F62" w:rsidP="00A64D88">
            <w:pPr>
              <w:ind w:leftChars="-1" w:hangingChars="1" w:hanging="2"/>
              <w:jc w:val="center"/>
              <w:rPr>
                <w:rFonts w:eastAsia="Times New Roman"/>
                <w:b/>
                <w:color w:val="000000"/>
              </w:rPr>
            </w:pPr>
            <w:r w:rsidRPr="002416A2">
              <w:rPr>
                <w:rFonts w:eastAsia="Times New Roman"/>
                <w:b/>
                <w:color w:val="000000"/>
              </w:rPr>
              <w:t>Calculation</w:t>
            </w:r>
          </w:p>
          <w:p w14:paraId="1CA4247F" w14:textId="77777777" w:rsidR="00164F62" w:rsidRPr="002E6AC5" w:rsidRDefault="00164F62" w:rsidP="00A64D88">
            <w:pPr>
              <w:ind w:leftChars="-1" w:hangingChars="1" w:hanging="2"/>
              <w:jc w:val="center"/>
              <w:rPr>
                <w:rFonts w:eastAsia="Times New Roman"/>
                <w:color w:val="000000"/>
              </w:rPr>
            </w:pPr>
            <w:r>
              <w:rPr>
                <w:rFonts w:eastAsia="Times New Roman"/>
                <w:color w:val="000000"/>
                <w:sz w:val="16"/>
              </w:rPr>
              <w:t>(m</w:t>
            </w:r>
            <w:r w:rsidRPr="002E6AC5">
              <w:rPr>
                <w:rFonts w:eastAsia="Times New Roman"/>
                <w:color w:val="000000"/>
                <w:sz w:val="16"/>
              </w:rPr>
              <w:t>etrics)</w:t>
            </w:r>
          </w:p>
        </w:tc>
        <w:tc>
          <w:tcPr>
            <w:tcW w:w="1843" w:type="dxa"/>
            <w:gridSpan w:val="3"/>
            <w:tcBorders>
              <w:top w:val="single" w:sz="4" w:space="0" w:color="auto"/>
              <w:left w:val="nil"/>
              <w:bottom w:val="single" w:sz="4" w:space="0" w:color="auto"/>
              <w:right w:val="single" w:sz="4" w:space="0" w:color="auto"/>
            </w:tcBorders>
            <w:shd w:val="clear" w:color="000000" w:fill="FFFFFF"/>
            <w:vAlign w:val="center"/>
          </w:tcPr>
          <w:p w14:paraId="6018EC29" w14:textId="77777777" w:rsidR="00164F62" w:rsidRPr="005C38A0" w:rsidRDefault="00164F62" w:rsidP="00A64D88">
            <w:pPr>
              <w:ind w:leftChars="-2" w:hangingChars="2" w:hanging="4"/>
              <w:jc w:val="center"/>
              <w:rPr>
                <w:rFonts w:eastAsia="Times New Roman"/>
                <w:b/>
                <w:color w:val="000000"/>
              </w:rPr>
            </w:pPr>
            <w:r>
              <w:rPr>
                <w:rFonts w:eastAsia="Times New Roman"/>
                <w:b/>
                <w:color w:val="000000"/>
              </w:rPr>
              <w:t>Sustainability dimensions</w:t>
            </w:r>
          </w:p>
        </w:tc>
        <w:tc>
          <w:tcPr>
            <w:tcW w:w="567" w:type="dxa"/>
            <w:vMerge w:val="restart"/>
            <w:tcBorders>
              <w:top w:val="single" w:sz="4" w:space="0" w:color="auto"/>
              <w:left w:val="nil"/>
              <w:right w:val="single" w:sz="4" w:space="0" w:color="auto"/>
            </w:tcBorders>
            <w:shd w:val="clear" w:color="000000" w:fill="FFFFFF"/>
            <w:vAlign w:val="center"/>
          </w:tcPr>
          <w:p w14:paraId="3728BA6F" w14:textId="77777777" w:rsidR="00164F62" w:rsidRPr="005C38A0" w:rsidRDefault="00164F62" w:rsidP="00E53665">
            <w:pPr>
              <w:ind w:left="-108" w:right="-108"/>
              <w:jc w:val="center"/>
              <w:rPr>
                <w:rFonts w:eastAsia="Times New Roman"/>
                <w:b/>
                <w:color w:val="000000"/>
              </w:rPr>
            </w:pPr>
            <w:r w:rsidRPr="005C38A0">
              <w:rPr>
                <w:rFonts w:eastAsia="Times New Roman"/>
                <w:b/>
                <w:color w:val="000000"/>
              </w:rPr>
              <w:t>R/I</w:t>
            </w:r>
          </w:p>
        </w:tc>
      </w:tr>
      <w:tr w:rsidR="00DD035C" w:rsidRPr="00842C9B" w14:paraId="2B85F093" w14:textId="77777777" w:rsidTr="00DD035C">
        <w:trPr>
          <w:trHeight w:val="409"/>
        </w:trPr>
        <w:tc>
          <w:tcPr>
            <w:tcW w:w="1980" w:type="dxa"/>
            <w:vMerge/>
            <w:tcBorders>
              <w:left w:val="single" w:sz="4" w:space="0" w:color="auto"/>
              <w:bottom w:val="single" w:sz="4" w:space="0" w:color="auto"/>
              <w:right w:val="single" w:sz="4" w:space="0" w:color="auto"/>
            </w:tcBorders>
            <w:shd w:val="clear" w:color="000000" w:fill="FFFFFF"/>
            <w:vAlign w:val="center"/>
          </w:tcPr>
          <w:p w14:paraId="7BD64EEB" w14:textId="77777777" w:rsidR="00164F62" w:rsidRPr="005C38A0" w:rsidRDefault="00164F62" w:rsidP="00A64D88">
            <w:pPr>
              <w:jc w:val="center"/>
              <w:rPr>
                <w:rFonts w:eastAsia="Times New Roman"/>
                <w:b/>
                <w:color w:val="000000"/>
              </w:rPr>
            </w:pPr>
          </w:p>
        </w:tc>
        <w:tc>
          <w:tcPr>
            <w:tcW w:w="1984" w:type="dxa"/>
            <w:vMerge/>
            <w:tcBorders>
              <w:left w:val="nil"/>
              <w:bottom w:val="single" w:sz="4" w:space="0" w:color="auto"/>
              <w:right w:val="single" w:sz="4" w:space="0" w:color="auto"/>
            </w:tcBorders>
            <w:shd w:val="clear" w:color="000000" w:fill="FFFFFF"/>
            <w:vAlign w:val="center"/>
          </w:tcPr>
          <w:p w14:paraId="679E8075" w14:textId="77777777" w:rsidR="00164F62" w:rsidRPr="005C38A0" w:rsidRDefault="00164F62" w:rsidP="00A64D88">
            <w:pPr>
              <w:rPr>
                <w:rFonts w:eastAsia="Times New Roman"/>
                <w:b/>
                <w:color w:val="000000"/>
              </w:rPr>
            </w:pPr>
          </w:p>
        </w:tc>
        <w:tc>
          <w:tcPr>
            <w:tcW w:w="2410" w:type="dxa"/>
            <w:vMerge/>
            <w:tcBorders>
              <w:left w:val="nil"/>
              <w:bottom w:val="single" w:sz="4" w:space="0" w:color="auto"/>
              <w:right w:val="single" w:sz="4" w:space="0" w:color="auto"/>
            </w:tcBorders>
            <w:shd w:val="clear" w:color="000000" w:fill="FFFFFF"/>
            <w:vAlign w:val="center"/>
          </w:tcPr>
          <w:p w14:paraId="46B308B5" w14:textId="77777777" w:rsidR="00164F62" w:rsidRPr="002416A2" w:rsidRDefault="00164F62" w:rsidP="00A64D88">
            <w:pPr>
              <w:ind w:leftChars="-1" w:hangingChars="1" w:hanging="2"/>
              <w:jc w:val="center"/>
              <w:rPr>
                <w:rFonts w:eastAsia="Times New Roman"/>
                <w:b/>
                <w:color w:val="000000"/>
                <w:sz w:val="18"/>
                <w:szCs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D61D96D" w14:textId="77777777" w:rsidR="00164F62" w:rsidRPr="004B1EEB" w:rsidRDefault="00164F62" w:rsidP="00E53665">
            <w:pPr>
              <w:ind w:left="-108" w:right="-108"/>
              <w:jc w:val="center"/>
              <w:rPr>
                <w:rFonts w:eastAsia="Times New Roman"/>
                <w:b/>
                <w:color w:val="000000"/>
                <w:sz w:val="16"/>
              </w:rPr>
            </w:pPr>
            <w:proofErr w:type="spellStart"/>
            <w:r w:rsidRPr="004B1EEB">
              <w:rPr>
                <w:rFonts w:eastAsia="Times New Roman"/>
                <w:b/>
                <w:color w:val="000000"/>
                <w:sz w:val="16"/>
              </w:rPr>
              <w:t>Econo</w:t>
            </w:r>
            <w:proofErr w:type="spellEnd"/>
            <w:r w:rsidR="00E53665">
              <w:rPr>
                <w:rFonts w:eastAsia="Times New Roman"/>
                <w:b/>
                <w:color w:val="000000"/>
                <w:sz w:val="16"/>
              </w:rPr>
              <w:t xml:space="preserve"> </w:t>
            </w:r>
            <w:r w:rsidRPr="004B1EEB">
              <w:rPr>
                <w:rFonts w:eastAsia="Times New Roman"/>
                <w:b/>
                <w:color w:val="000000"/>
                <w:sz w:val="16"/>
              </w:rPr>
              <w:t>mic</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DDF03FE" w14:textId="77777777" w:rsidR="00164F62" w:rsidRPr="004B1EEB" w:rsidRDefault="00164F62" w:rsidP="00E53665">
            <w:pPr>
              <w:ind w:left="-108" w:right="-108"/>
              <w:jc w:val="center"/>
              <w:rPr>
                <w:rFonts w:eastAsia="Times New Roman"/>
                <w:b/>
                <w:color w:val="000000"/>
                <w:sz w:val="16"/>
              </w:rPr>
            </w:pPr>
            <w:r w:rsidRPr="004B1EEB">
              <w:rPr>
                <w:rFonts w:eastAsia="Times New Roman"/>
                <w:b/>
                <w:color w:val="000000"/>
                <w:sz w:val="16"/>
              </w:rPr>
              <w:t>Social</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FA8CF23" w14:textId="77777777" w:rsidR="00164F62" w:rsidRPr="004B1EEB" w:rsidRDefault="00164F62" w:rsidP="00E53665">
            <w:pPr>
              <w:ind w:leftChars="-55" w:left="-107" w:right="-108" w:hangingChars="2" w:hanging="3"/>
              <w:jc w:val="center"/>
              <w:rPr>
                <w:rFonts w:eastAsia="Times New Roman"/>
                <w:b/>
                <w:color w:val="000000"/>
                <w:sz w:val="16"/>
              </w:rPr>
            </w:pPr>
            <w:r w:rsidRPr="004B1EEB">
              <w:rPr>
                <w:rFonts w:eastAsia="Times New Roman"/>
                <w:b/>
                <w:color w:val="000000"/>
                <w:sz w:val="16"/>
              </w:rPr>
              <w:t>Environ</w:t>
            </w:r>
            <w:r w:rsidR="00E53665">
              <w:rPr>
                <w:rFonts w:eastAsia="Times New Roman"/>
                <w:b/>
                <w:color w:val="000000"/>
                <w:sz w:val="16"/>
              </w:rPr>
              <w:t xml:space="preserve"> </w:t>
            </w:r>
            <w:r w:rsidRPr="004B1EEB">
              <w:rPr>
                <w:rFonts w:eastAsia="Times New Roman"/>
                <w:b/>
                <w:color w:val="000000"/>
                <w:sz w:val="16"/>
              </w:rPr>
              <w:t>mental</w:t>
            </w:r>
          </w:p>
        </w:tc>
        <w:tc>
          <w:tcPr>
            <w:tcW w:w="567" w:type="dxa"/>
            <w:vMerge/>
            <w:tcBorders>
              <w:left w:val="nil"/>
              <w:bottom w:val="single" w:sz="4" w:space="0" w:color="auto"/>
              <w:right w:val="single" w:sz="4" w:space="0" w:color="auto"/>
            </w:tcBorders>
            <w:shd w:val="clear" w:color="000000" w:fill="FFFFFF"/>
            <w:vAlign w:val="center"/>
          </w:tcPr>
          <w:p w14:paraId="4A1F3D78" w14:textId="77777777" w:rsidR="00164F62" w:rsidRPr="005C38A0" w:rsidRDefault="00164F62" w:rsidP="00A64D88">
            <w:pPr>
              <w:jc w:val="center"/>
              <w:rPr>
                <w:rFonts w:eastAsia="Times New Roman"/>
                <w:b/>
                <w:color w:val="000000"/>
              </w:rPr>
            </w:pPr>
          </w:p>
        </w:tc>
      </w:tr>
      <w:tr w:rsidR="00DD035C" w:rsidRPr="00842C9B" w14:paraId="26725FB6" w14:textId="77777777" w:rsidTr="00DD035C">
        <w:trPr>
          <w:trHeight w:val="932"/>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4C6AF1EC" w14:textId="77777777" w:rsidR="00164F62" w:rsidRPr="00842C9B" w:rsidRDefault="00164F62" w:rsidP="00A64D88">
            <w:pPr>
              <w:rPr>
                <w:rFonts w:eastAsia="Times New Roman"/>
                <w:color w:val="000000"/>
              </w:rPr>
            </w:pPr>
            <w:r>
              <w:rPr>
                <w:rFonts w:eastAsia="Times New Roman"/>
                <w:color w:val="000000"/>
              </w:rPr>
              <w:t>Environmental index</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DCFBF41" w14:textId="77777777" w:rsidR="00164F62" w:rsidRPr="00842C9B" w:rsidRDefault="00164F62" w:rsidP="00A64D88">
            <w:pPr>
              <w:rPr>
                <w:rFonts w:eastAsia="Times New Roman"/>
                <w:color w:val="000000"/>
              </w:rPr>
            </w:pPr>
            <w:r w:rsidRPr="00876AB9">
              <w:rPr>
                <w:rFonts w:eastAsia="Times New Roman"/>
                <w:color w:val="000000"/>
                <w:sz w:val="18"/>
              </w:rPr>
              <w:t>Commitment to global warming and climate change reduction</w:t>
            </w:r>
          </w:p>
        </w:tc>
        <w:tc>
          <w:tcPr>
            <w:tcW w:w="2410" w:type="dxa"/>
            <w:tcBorders>
              <w:top w:val="single" w:sz="4" w:space="0" w:color="auto"/>
              <w:left w:val="nil"/>
              <w:bottom w:val="single" w:sz="4" w:space="0" w:color="auto"/>
              <w:right w:val="single" w:sz="4" w:space="0" w:color="auto"/>
            </w:tcBorders>
            <w:shd w:val="clear" w:color="auto" w:fill="auto"/>
            <w:vAlign w:val="center"/>
          </w:tcPr>
          <w:p w14:paraId="65E8F641" w14:textId="77777777" w:rsidR="00164F62" w:rsidRPr="002416A2" w:rsidRDefault="00164F62" w:rsidP="00A64D88">
            <w:pPr>
              <w:jc w:val="center"/>
              <w:rPr>
                <w:rFonts w:eastAsia="Times New Roman"/>
                <w:color w:val="000000"/>
                <w:sz w:val="18"/>
                <w:szCs w:val="18"/>
              </w:rPr>
            </w:pPr>
            <w:r w:rsidRPr="002416A2">
              <w:rPr>
                <w:rFonts w:eastAsia="Times New Roman"/>
                <w:color w:val="000000"/>
                <w:sz w:val="18"/>
                <w:szCs w:val="18"/>
              </w:rPr>
              <w:t>(</w:t>
            </w:r>
            <w:r>
              <w:rPr>
                <w:rFonts w:eastAsia="Times New Roman"/>
                <w:color w:val="000000"/>
                <w:sz w:val="18"/>
                <w:szCs w:val="18"/>
              </w:rPr>
              <w:t>Total of g</w:t>
            </w:r>
            <w:r w:rsidRPr="002416A2">
              <w:rPr>
                <w:rFonts w:eastAsia="Times New Roman"/>
                <w:color w:val="000000"/>
                <w:sz w:val="18"/>
                <w:szCs w:val="18"/>
              </w:rPr>
              <w:t xml:space="preserve">as emission x </w:t>
            </w:r>
            <w:r>
              <w:rPr>
                <w:rFonts w:eastAsia="Times New Roman"/>
                <w:color w:val="000000"/>
                <w:sz w:val="18"/>
                <w:szCs w:val="18"/>
              </w:rPr>
              <w:t xml:space="preserve">total of </w:t>
            </w:r>
            <w:r w:rsidRPr="002416A2">
              <w:rPr>
                <w:rFonts w:eastAsia="Times New Roman"/>
                <w:color w:val="000000"/>
                <w:sz w:val="18"/>
                <w:szCs w:val="18"/>
              </w:rPr>
              <w:t xml:space="preserve">water consumption x </w:t>
            </w:r>
            <w:r>
              <w:rPr>
                <w:rFonts w:eastAsia="Times New Roman"/>
                <w:color w:val="000000"/>
                <w:sz w:val="18"/>
                <w:szCs w:val="18"/>
              </w:rPr>
              <w:t>total of e</w:t>
            </w:r>
            <w:r w:rsidRPr="002416A2">
              <w:rPr>
                <w:rFonts w:eastAsia="Times New Roman"/>
                <w:color w:val="000000"/>
                <w:sz w:val="18"/>
                <w:szCs w:val="18"/>
              </w:rPr>
              <w:t xml:space="preserve">nergy consumption x </w:t>
            </w:r>
            <w:r>
              <w:rPr>
                <w:rFonts w:eastAsia="Times New Roman"/>
                <w:color w:val="000000"/>
                <w:sz w:val="18"/>
                <w:szCs w:val="18"/>
              </w:rPr>
              <w:t xml:space="preserve">total </w:t>
            </w:r>
            <w:r w:rsidRPr="002416A2">
              <w:rPr>
                <w:rFonts w:eastAsia="Times New Roman"/>
                <w:color w:val="000000"/>
                <w:sz w:val="18"/>
                <w:szCs w:val="18"/>
              </w:rPr>
              <w:t>solid waste</w:t>
            </w:r>
            <w:r>
              <w:rPr>
                <w:rFonts w:eastAsia="Times New Roman"/>
                <w:color w:val="000000"/>
                <w:sz w:val="18"/>
                <w:szCs w:val="18"/>
              </w:rPr>
              <w:t xml:space="preserve"> produced)/ GVA</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3C0D0E" w14:textId="77777777" w:rsidR="00164F62" w:rsidRPr="00A70C98" w:rsidRDefault="00164F62" w:rsidP="00A64D88">
            <w:pPr>
              <w:jc w:val="center"/>
              <w:rPr>
                <w:rFonts w:eastAsia="Times New Roman"/>
                <w:color w:val="000000"/>
                <w:sz w:val="18"/>
                <w:highlight w:val="yellow"/>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5BCDAC13" w14:textId="77777777" w:rsidR="00164F62" w:rsidRPr="00A70C98" w:rsidRDefault="00164F62" w:rsidP="00A64D88">
            <w:pPr>
              <w:jc w:val="center"/>
              <w:rPr>
                <w:rFonts w:eastAsia="Times New Roman"/>
                <w:color w:val="000000"/>
                <w:sz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7C4F3482"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59E56BE"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r w:rsidR="00DD035C" w:rsidRPr="00842C9B" w14:paraId="2B1550B8" w14:textId="77777777" w:rsidTr="00DD035C">
        <w:trPr>
          <w:trHeight w:val="715"/>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E94CC" w14:textId="77777777" w:rsidR="00164F62" w:rsidRPr="00842C9B" w:rsidRDefault="00164F62" w:rsidP="00A64D88">
            <w:pPr>
              <w:rPr>
                <w:rFonts w:eastAsia="Times New Roman"/>
                <w:color w:val="000000"/>
              </w:rPr>
            </w:pPr>
            <w:r>
              <w:rPr>
                <w:rFonts w:eastAsia="Times New Roman"/>
                <w:color w:val="000000"/>
              </w:rPr>
              <w:t>Patents and trademark index</w:t>
            </w:r>
          </w:p>
        </w:tc>
        <w:tc>
          <w:tcPr>
            <w:tcW w:w="1984" w:type="dxa"/>
            <w:tcBorders>
              <w:top w:val="nil"/>
              <w:left w:val="nil"/>
              <w:bottom w:val="single" w:sz="4" w:space="0" w:color="auto"/>
              <w:right w:val="single" w:sz="4" w:space="0" w:color="auto"/>
            </w:tcBorders>
            <w:shd w:val="clear" w:color="000000" w:fill="FFFFFF"/>
            <w:vAlign w:val="center"/>
          </w:tcPr>
          <w:p w14:paraId="6C2F1B1E" w14:textId="77777777" w:rsidR="00164F62" w:rsidRPr="00876AB9" w:rsidRDefault="00164F62" w:rsidP="00A64D88">
            <w:pPr>
              <w:rPr>
                <w:rFonts w:eastAsia="Times New Roman"/>
                <w:color w:val="000000"/>
                <w:sz w:val="18"/>
              </w:rPr>
            </w:pPr>
            <w:r w:rsidRPr="00876AB9">
              <w:rPr>
                <w:rFonts w:eastAsia="Times New Roman"/>
                <w:color w:val="000000"/>
                <w:sz w:val="18"/>
              </w:rPr>
              <w:t>Innovation effectiveness</w:t>
            </w:r>
          </w:p>
        </w:tc>
        <w:tc>
          <w:tcPr>
            <w:tcW w:w="2410" w:type="dxa"/>
            <w:tcBorders>
              <w:top w:val="nil"/>
              <w:left w:val="nil"/>
              <w:bottom w:val="single" w:sz="4" w:space="0" w:color="auto"/>
              <w:right w:val="single" w:sz="4" w:space="0" w:color="auto"/>
            </w:tcBorders>
            <w:shd w:val="clear" w:color="000000" w:fill="FFFFFF"/>
            <w:vAlign w:val="center"/>
          </w:tcPr>
          <w:p w14:paraId="663032E6" w14:textId="77777777" w:rsidR="00164F62" w:rsidRPr="00066A0D" w:rsidRDefault="00164F62" w:rsidP="00A64D88">
            <w:pPr>
              <w:jc w:val="center"/>
              <w:rPr>
                <w:rFonts w:eastAsia="Times New Roman"/>
                <w:color w:val="000000"/>
                <w:sz w:val="18"/>
                <w:szCs w:val="18"/>
              </w:rPr>
            </w:pPr>
            <w:r>
              <w:rPr>
                <w:rFonts w:eastAsia="Times New Roman"/>
                <w:color w:val="000000"/>
                <w:sz w:val="18"/>
                <w:szCs w:val="18"/>
              </w:rPr>
              <w:t xml:space="preserve">0,8 x nº of </w:t>
            </w:r>
            <w:r w:rsidRPr="002416A2">
              <w:rPr>
                <w:rFonts w:eastAsia="Times New Roman"/>
                <w:color w:val="000000"/>
                <w:sz w:val="18"/>
                <w:szCs w:val="18"/>
              </w:rPr>
              <w:t>patents</w:t>
            </w:r>
            <w:r>
              <w:rPr>
                <w:rFonts w:eastAsia="Times New Roman"/>
                <w:color w:val="000000"/>
                <w:sz w:val="18"/>
                <w:szCs w:val="18"/>
              </w:rPr>
              <w:t xml:space="preserve"> approved</w:t>
            </w:r>
            <w:r w:rsidRPr="002416A2">
              <w:rPr>
                <w:rFonts w:eastAsia="Times New Roman"/>
                <w:color w:val="000000"/>
                <w:sz w:val="18"/>
                <w:szCs w:val="18"/>
              </w:rPr>
              <w:t xml:space="preserve"> + 0,2 </w:t>
            </w:r>
            <w:r>
              <w:rPr>
                <w:rFonts w:eastAsia="Times New Roman"/>
                <w:color w:val="000000"/>
                <w:sz w:val="18"/>
                <w:szCs w:val="18"/>
              </w:rPr>
              <w:t xml:space="preserve">x nº of </w:t>
            </w:r>
            <w:r w:rsidRPr="002416A2">
              <w:rPr>
                <w:rFonts w:eastAsia="Times New Roman"/>
                <w:color w:val="000000"/>
                <w:sz w:val="18"/>
                <w:szCs w:val="18"/>
              </w:rPr>
              <w:t>trademarks</w:t>
            </w:r>
            <w:r>
              <w:rPr>
                <w:rFonts w:eastAsia="Times New Roman"/>
                <w:color w:val="000000"/>
                <w:sz w:val="18"/>
                <w:szCs w:val="18"/>
              </w:rPr>
              <w:t xml:space="preserve"> </w:t>
            </w:r>
          </w:p>
          <w:p w14:paraId="621D9C10" w14:textId="77777777" w:rsidR="00164F62" w:rsidRPr="002416A2" w:rsidRDefault="00164F62" w:rsidP="00A64D88">
            <w:pPr>
              <w:jc w:val="center"/>
              <w:rPr>
                <w:rFonts w:eastAsia="Times New Roman"/>
                <w:color w:val="000000"/>
                <w:sz w:val="18"/>
                <w:szCs w:val="18"/>
              </w:rPr>
            </w:pPr>
            <w:r w:rsidRPr="00066A0D">
              <w:rPr>
                <w:rFonts w:eastAsia="Times New Roman"/>
                <w:color w:val="000000"/>
                <w:sz w:val="18"/>
                <w:szCs w:val="18"/>
              </w:rPr>
              <w:t>registered</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4F8EAFB"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7C5B5880" w14:textId="77777777" w:rsidR="00164F62" w:rsidRPr="00A70C98" w:rsidRDefault="00164F62" w:rsidP="00A64D88">
            <w:pPr>
              <w:jc w:val="center"/>
              <w:rPr>
                <w:rFonts w:eastAsia="Times New Roman"/>
                <w:color w:val="000000"/>
                <w:sz w:val="18"/>
              </w:rPr>
            </w:pPr>
          </w:p>
        </w:tc>
        <w:tc>
          <w:tcPr>
            <w:tcW w:w="709" w:type="dxa"/>
            <w:tcBorders>
              <w:top w:val="nil"/>
              <w:left w:val="nil"/>
              <w:bottom w:val="single" w:sz="4" w:space="0" w:color="auto"/>
              <w:right w:val="single" w:sz="4" w:space="0" w:color="auto"/>
            </w:tcBorders>
            <w:shd w:val="clear" w:color="000000" w:fill="FFFFFF"/>
            <w:vAlign w:val="center"/>
          </w:tcPr>
          <w:p w14:paraId="575F24FA" w14:textId="77777777" w:rsidR="00164F62" w:rsidRPr="00A70C98" w:rsidRDefault="00164F62" w:rsidP="00A64D88">
            <w:pPr>
              <w:jc w:val="center"/>
              <w:rPr>
                <w:rFonts w:eastAsia="Times New Roman"/>
                <w:color w:val="000000"/>
                <w:sz w:val="18"/>
              </w:rPr>
            </w:pPr>
          </w:p>
        </w:tc>
        <w:tc>
          <w:tcPr>
            <w:tcW w:w="567" w:type="dxa"/>
            <w:tcBorders>
              <w:top w:val="nil"/>
              <w:left w:val="nil"/>
              <w:bottom w:val="single" w:sz="4" w:space="0" w:color="auto"/>
              <w:right w:val="single" w:sz="4" w:space="0" w:color="auto"/>
            </w:tcBorders>
            <w:shd w:val="clear" w:color="000000" w:fill="FFFFFF"/>
            <w:vAlign w:val="center"/>
          </w:tcPr>
          <w:p w14:paraId="781A7C09"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r w:rsidR="00DD035C" w:rsidRPr="00842C9B" w14:paraId="532E8796" w14:textId="77777777" w:rsidTr="00DD035C">
        <w:trPr>
          <w:trHeight w:val="6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6BC6689A" w14:textId="77777777" w:rsidR="00164F62" w:rsidRDefault="00164F62" w:rsidP="00A64D88">
            <w:pPr>
              <w:rPr>
                <w:rFonts w:eastAsia="Times New Roman"/>
                <w:color w:val="000000"/>
              </w:rPr>
            </w:pPr>
            <w:r>
              <w:rPr>
                <w:rFonts w:eastAsia="Times New Roman"/>
                <w:color w:val="000000"/>
              </w:rPr>
              <w:t xml:space="preserve">Average innovation cycle time </w:t>
            </w:r>
          </w:p>
        </w:tc>
        <w:tc>
          <w:tcPr>
            <w:tcW w:w="1984" w:type="dxa"/>
            <w:tcBorders>
              <w:top w:val="nil"/>
              <w:left w:val="nil"/>
              <w:bottom w:val="single" w:sz="4" w:space="0" w:color="auto"/>
              <w:right w:val="single" w:sz="4" w:space="0" w:color="auto"/>
            </w:tcBorders>
            <w:shd w:val="clear" w:color="000000" w:fill="FFFFFF"/>
            <w:vAlign w:val="center"/>
          </w:tcPr>
          <w:p w14:paraId="35A7B9E8" w14:textId="77777777" w:rsidR="00164F62" w:rsidRPr="00876AB9" w:rsidRDefault="00164F62" w:rsidP="00A64D88">
            <w:pPr>
              <w:rPr>
                <w:rFonts w:eastAsia="Times New Roman"/>
                <w:color w:val="000000"/>
                <w:sz w:val="18"/>
              </w:rPr>
            </w:pPr>
            <w:r w:rsidRPr="00876AB9">
              <w:rPr>
                <w:rFonts w:eastAsia="Times New Roman"/>
                <w:color w:val="000000"/>
                <w:sz w:val="18"/>
              </w:rPr>
              <w:t>Innovation efficiency</w:t>
            </w:r>
          </w:p>
        </w:tc>
        <w:tc>
          <w:tcPr>
            <w:tcW w:w="2410" w:type="dxa"/>
            <w:tcBorders>
              <w:top w:val="nil"/>
              <w:left w:val="nil"/>
              <w:bottom w:val="single" w:sz="4" w:space="0" w:color="auto"/>
              <w:right w:val="single" w:sz="4" w:space="0" w:color="auto"/>
            </w:tcBorders>
            <w:shd w:val="clear" w:color="auto" w:fill="auto"/>
            <w:vAlign w:val="center"/>
          </w:tcPr>
          <w:p w14:paraId="7E93CABA"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w:t>
            </w:r>
            <w:r w:rsidRPr="00901A18">
              <w:rPr>
                <w:rFonts w:eastAsia="Times New Roman"/>
                <w:color w:val="000000"/>
                <w:sz w:val="18"/>
                <w:szCs w:val="18"/>
                <w:vertAlign w:val="superscript"/>
              </w:rPr>
              <w:t>n</w:t>
            </w:r>
            <w:r>
              <w:rPr>
                <w:rFonts w:eastAsia="Times New Roman"/>
                <w:color w:val="000000"/>
                <w:sz w:val="18"/>
                <w:szCs w:val="18"/>
                <w:vertAlign w:val="superscript"/>
              </w:rPr>
              <w:t xml:space="preserve"> </w:t>
            </w:r>
            <w:proofErr w:type="spellStart"/>
            <w:r w:rsidRPr="00901A18">
              <w:rPr>
                <w:rFonts w:eastAsia="Times New Roman"/>
                <w:color w:val="000000"/>
                <w:sz w:val="18"/>
                <w:szCs w:val="18"/>
                <w:vertAlign w:val="subscript"/>
              </w:rPr>
              <w:t>i</w:t>
            </w:r>
            <w:proofErr w:type="spellEnd"/>
            <w:r>
              <w:rPr>
                <w:rFonts w:eastAsia="Times New Roman"/>
                <w:color w:val="000000"/>
                <w:sz w:val="18"/>
                <w:szCs w:val="18"/>
                <w:vertAlign w:val="subscript"/>
              </w:rPr>
              <w:t xml:space="preserve"> </w:t>
            </w:r>
            <w:r>
              <w:rPr>
                <w:rFonts w:eastAsia="Times New Roman"/>
                <w:color w:val="000000"/>
                <w:sz w:val="18"/>
                <w:szCs w:val="18"/>
              </w:rPr>
              <w:t xml:space="preserve">time since idea till launch of the new product or </w:t>
            </w:r>
            <w:proofErr w:type="spellStart"/>
            <w:r>
              <w:rPr>
                <w:rFonts w:eastAsia="Times New Roman"/>
                <w:color w:val="000000"/>
                <w:sz w:val="18"/>
                <w:szCs w:val="18"/>
              </w:rPr>
              <w:t>service</w:t>
            </w:r>
            <w:r w:rsidRPr="00C540CD">
              <w:rPr>
                <w:rFonts w:eastAsia="Times New Roman"/>
                <w:color w:val="000000"/>
                <w:sz w:val="18"/>
                <w:szCs w:val="18"/>
                <w:vertAlign w:val="subscript"/>
              </w:rPr>
              <w:t>i</w:t>
            </w:r>
            <w:proofErr w:type="spellEnd"/>
            <w:r>
              <w:rPr>
                <w:sz w:val="16"/>
              </w:rPr>
              <w:t xml:space="preserve">/ nº of </w:t>
            </w:r>
            <w:r>
              <w:rPr>
                <w:rFonts w:eastAsia="Times New Roman"/>
                <w:color w:val="000000"/>
                <w:sz w:val="18"/>
                <w:szCs w:val="18"/>
              </w:rPr>
              <w:t>new products or services launched</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6D52C6C"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3B15DF9C" w14:textId="77777777" w:rsidR="00164F62" w:rsidRPr="00A70C98" w:rsidRDefault="00164F62" w:rsidP="00A64D88">
            <w:pPr>
              <w:jc w:val="center"/>
              <w:rPr>
                <w:rFonts w:eastAsia="Times New Roman"/>
                <w:color w:val="000000"/>
                <w:sz w:val="18"/>
              </w:rPr>
            </w:pPr>
          </w:p>
        </w:tc>
        <w:tc>
          <w:tcPr>
            <w:tcW w:w="709" w:type="dxa"/>
            <w:tcBorders>
              <w:top w:val="nil"/>
              <w:left w:val="nil"/>
              <w:bottom w:val="single" w:sz="4" w:space="0" w:color="auto"/>
              <w:right w:val="single" w:sz="4" w:space="0" w:color="auto"/>
            </w:tcBorders>
            <w:shd w:val="clear" w:color="000000" w:fill="FFFFFF"/>
            <w:vAlign w:val="center"/>
          </w:tcPr>
          <w:p w14:paraId="51303C3D" w14:textId="77777777" w:rsidR="00164F62" w:rsidRPr="00A70C98" w:rsidRDefault="00164F62" w:rsidP="00A64D88">
            <w:pPr>
              <w:jc w:val="center"/>
              <w:rPr>
                <w:rFonts w:eastAsia="Times New Roman"/>
                <w:color w:val="000000"/>
                <w:sz w:val="18"/>
              </w:rPr>
            </w:pPr>
          </w:p>
        </w:tc>
        <w:tc>
          <w:tcPr>
            <w:tcW w:w="567" w:type="dxa"/>
            <w:tcBorders>
              <w:top w:val="nil"/>
              <w:left w:val="nil"/>
              <w:bottom w:val="single" w:sz="4" w:space="0" w:color="auto"/>
              <w:right w:val="single" w:sz="4" w:space="0" w:color="auto"/>
            </w:tcBorders>
            <w:shd w:val="clear" w:color="000000" w:fill="FFFFFF"/>
            <w:vAlign w:val="center"/>
          </w:tcPr>
          <w:p w14:paraId="4283BE76"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r w:rsidR="00DD035C" w:rsidRPr="00842C9B" w14:paraId="72755F5A" w14:textId="77777777" w:rsidTr="00DD035C">
        <w:trPr>
          <w:trHeight w:val="909"/>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1473B6" w14:textId="77777777" w:rsidR="00164F62" w:rsidRPr="00842C9B" w:rsidRDefault="00164F62" w:rsidP="00A64D88">
            <w:pPr>
              <w:rPr>
                <w:rFonts w:eastAsia="Times New Roman"/>
                <w:color w:val="000000"/>
              </w:rPr>
            </w:pPr>
            <w:r>
              <w:rPr>
                <w:rFonts w:eastAsia="Times New Roman"/>
                <w:color w:val="000000"/>
              </w:rPr>
              <w:t>Number of scientific publications</w:t>
            </w:r>
          </w:p>
        </w:tc>
        <w:tc>
          <w:tcPr>
            <w:tcW w:w="1984" w:type="dxa"/>
            <w:tcBorders>
              <w:top w:val="nil"/>
              <w:left w:val="nil"/>
              <w:bottom w:val="single" w:sz="4" w:space="0" w:color="auto"/>
              <w:right w:val="single" w:sz="4" w:space="0" w:color="auto"/>
            </w:tcBorders>
            <w:shd w:val="clear" w:color="000000" w:fill="FFFFFF"/>
            <w:vAlign w:val="center"/>
          </w:tcPr>
          <w:p w14:paraId="1AA7EE60" w14:textId="77777777" w:rsidR="00164F62" w:rsidRPr="00881041" w:rsidRDefault="00164F62" w:rsidP="00A64D88">
            <w:pPr>
              <w:rPr>
                <w:rFonts w:eastAsia="Times New Roman"/>
                <w:color w:val="000000"/>
                <w:sz w:val="18"/>
              </w:rPr>
            </w:pPr>
            <w:r>
              <w:rPr>
                <w:rFonts w:eastAsia="Times New Roman"/>
                <w:color w:val="000000"/>
                <w:sz w:val="18"/>
              </w:rPr>
              <w:t xml:space="preserve">Relevancy </w:t>
            </w:r>
            <w:r w:rsidRPr="00876AB9">
              <w:rPr>
                <w:rFonts w:eastAsia="Times New Roman"/>
                <w:color w:val="000000"/>
                <w:sz w:val="18"/>
              </w:rPr>
              <w:t>to</w:t>
            </w:r>
            <w:r w:rsidRPr="00881041">
              <w:rPr>
                <w:rFonts w:eastAsia="Times New Roman"/>
                <w:color w:val="000000"/>
                <w:sz w:val="18"/>
              </w:rPr>
              <w:t xml:space="preserve"> innovative </w:t>
            </w:r>
            <w:r>
              <w:rPr>
                <w:rFonts w:eastAsia="Times New Roman"/>
                <w:color w:val="000000"/>
                <w:sz w:val="18"/>
              </w:rPr>
              <w:t xml:space="preserve">and </w:t>
            </w:r>
            <w:r w:rsidRPr="00881041">
              <w:rPr>
                <w:rFonts w:eastAsia="Times New Roman"/>
                <w:color w:val="000000"/>
                <w:sz w:val="18"/>
              </w:rPr>
              <w:t>s</w:t>
            </w:r>
            <w:r>
              <w:rPr>
                <w:rFonts w:eastAsia="Times New Roman"/>
                <w:color w:val="000000"/>
                <w:sz w:val="18"/>
              </w:rPr>
              <w:t xml:space="preserve">cientific </w:t>
            </w:r>
            <w:r w:rsidRPr="00881041">
              <w:rPr>
                <w:rFonts w:eastAsia="Times New Roman"/>
                <w:color w:val="000000"/>
                <w:sz w:val="18"/>
              </w:rPr>
              <w:t>knowledge</w:t>
            </w:r>
            <w:r>
              <w:rPr>
                <w:rFonts w:eastAsia="Times New Roman"/>
                <w:color w:val="000000"/>
                <w:sz w:val="18"/>
              </w:rPr>
              <w:t xml:space="preserve"> (innovation recognition)</w:t>
            </w:r>
          </w:p>
        </w:tc>
        <w:tc>
          <w:tcPr>
            <w:tcW w:w="2410" w:type="dxa"/>
            <w:tcBorders>
              <w:top w:val="nil"/>
              <w:left w:val="nil"/>
              <w:bottom w:val="single" w:sz="4" w:space="0" w:color="auto"/>
              <w:right w:val="single" w:sz="4" w:space="0" w:color="auto"/>
            </w:tcBorders>
            <w:shd w:val="clear" w:color="000000" w:fill="FFFFFF"/>
            <w:vAlign w:val="center"/>
          </w:tcPr>
          <w:p w14:paraId="3770A9E0"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Nº of scientific articles published in recognized scientific journals (ex.: ISI)</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831B769"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26562A76"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709" w:type="dxa"/>
            <w:tcBorders>
              <w:top w:val="nil"/>
              <w:left w:val="nil"/>
              <w:bottom w:val="single" w:sz="4" w:space="0" w:color="auto"/>
              <w:right w:val="single" w:sz="4" w:space="0" w:color="auto"/>
            </w:tcBorders>
            <w:shd w:val="clear" w:color="000000" w:fill="FFFFFF"/>
            <w:vAlign w:val="center"/>
          </w:tcPr>
          <w:p w14:paraId="52A7B952" w14:textId="77777777" w:rsidR="00164F62" w:rsidRPr="00A70C98" w:rsidRDefault="00164F62" w:rsidP="00A64D88">
            <w:pPr>
              <w:jc w:val="center"/>
              <w:rPr>
                <w:rFonts w:eastAsia="Times New Roman"/>
                <w:color w:val="000000"/>
                <w:sz w:val="18"/>
              </w:rPr>
            </w:pPr>
          </w:p>
        </w:tc>
        <w:tc>
          <w:tcPr>
            <w:tcW w:w="567" w:type="dxa"/>
            <w:tcBorders>
              <w:top w:val="nil"/>
              <w:left w:val="nil"/>
              <w:bottom w:val="single" w:sz="4" w:space="0" w:color="auto"/>
              <w:right w:val="single" w:sz="4" w:space="0" w:color="auto"/>
            </w:tcBorders>
            <w:shd w:val="clear" w:color="000000" w:fill="FFFFFF"/>
            <w:vAlign w:val="center"/>
          </w:tcPr>
          <w:p w14:paraId="077D716F"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bl>
    <w:p w14:paraId="1BD7EA19" w14:textId="77777777" w:rsidR="00164F62" w:rsidRPr="0024691E" w:rsidRDefault="00164F62" w:rsidP="00164F62">
      <w:pPr>
        <w:rPr>
          <w:rFonts w:eastAsia="Times New Roman"/>
          <w:b/>
          <w:color w:val="000000"/>
          <w:sz w:val="2"/>
          <w:szCs w:val="2"/>
        </w:rPr>
      </w:pPr>
    </w:p>
    <w:p w14:paraId="453C71DC" w14:textId="77777777" w:rsidR="00164F62" w:rsidRPr="0024691E" w:rsidRDefault="00164F62" w:rsidP="00164F62">
      <w:pPr>
        <w:rPr>
          <w:rFonts w:eastAsia="Times New Roman"/>
          <w:b/>
          <w:color w:val="000000"/>
          <w:sz w:val="6"/>
          <w:szCs w:val="6"/>
        </w:rPr>
      </w:pPr>
    </w:p>
    <w:p w14:paraId="3AE8E847" w14:textId="77777777" w:rsidR="00164F62" w:rsidRPr="0024691E" w:rsidRDefault="00164F62" w:rsidP="00164F62">
      <w:pPr>
        <w:rPr>
          <w:rFonts w:eastAsia="Times New Roman"/>
          <w:b/>
          <w:color w:val="000000"/>
          <w:sz w:val="22"/>
          <w:szCs w:val="22"/>
        </w:rPr>
      </w:pPr>
      <w:r w:rsidRPr="002A7636">
        <w:rPr>
          <w:rFonts w:eastAsia="Times New Roman"/>
          <w:b/>
          <w:color w:val="000000"/>
        </w:rPr>
        <w:t>Business Proposition (</w:t>
      </w:r>
      <w:r>
        <w:rPr>
          <w:rFonts w:eastAsia="Times New Roman"/>
          <w:b/>
          <w:color w:val="000000"/>
        </w:rPr>
        <w:t>2)</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842C9B" w14:paraId="1B546563" w14:textId="77777777" w:rsidTr="00DD035C">
        <w:trPr>
          <w:trHeight w:val="6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1423C017" w14:textId="77777777" w:rsidR="00164F62" w:rsidRPr="00842C9B" w:rsidRDefault="00164F62" w:rsidP="00A64D88">
            <w:pPr>
              <w:rPr>
                <w:rFonts w:eastAsia="Times New Roman"/>
                <w:color w:val="000000"/>
              </w:rPr>
            </w:pPr>
            <w:r>
              <w:rPr>
                <w:rFonts w:eastAsia="Times New Roman"/>
                <w:color w:val="000000"/>
              </w:rPr>
              <w:t xml:space="preserve">Sales of new products (and services) on total of </w:t>
            </w:r>
            <w:r w:rsidRPr="00DB5587">
              <w:rPr>
                <w:rFonts w:eastAsia="Times New Roman"/>
                <w:color w:val="000000"/>
              </w:rPr>
              <w:t>sales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A8CF318" w14:textId="77777777" w:rsidR="00164F62" w:rsidRPr="00AE6045" w:rsidRDefault="00164F62" w:rsidP="00A64D88">
            <w:r w:rsidRPr="00714199">
              <w:rPr>
                <w:rFonts w:eastAsia="Times New Roman"/>
                <w:color w:val="000000"/>
                <w:sz w:val="18"/>
              </w:rPr>
              <w:t>Capacity to convert innovation into business</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4C56B729"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(Sales of new products and new services/ t</w:t>
            </w:r>
            <w:r w:rsidRPr="001D3B67">
              <w:rPr>
                <w:rFonts w:eastAsia="Times New Roman"/>
                <w:color w:val="000000"/>
                <w:sz w:val="18"/>
                <w:szCs w:val="18"/>
              </w:rPr>
              <w:t xml:space="preserve">otal </w:t>
            </w:r>
            <w:r>
              <w:rPr>
                <w:rFonts w:eastAsia="Times New Roman"/>
                <w:color w:val="000000"/>
                <w:sz w:val="18"/>
                <w:szCs w:val="18"/>
              </w:rPr>
              <w:t>of sales) x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BD78C3"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40CE94A6"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50298CE7"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50F69A2" w14:textId="77777777" w:rsidR="00164F62" w:rsidRPr="00A70C98" w:rsidRDefault="00164F62" w:rsidP="00A64D88">
            <w:pPr>
              <w:jc w:val="center"/>
              <w:rPr>
                <w:rFonts w:eastAsia="Times New Roman"/>
                <w:color w:val="000000"/>
                <w:sz w:val="18"/>
              </w:rPr>
            </w:pPr>
            <w:r>
              <w:rPr>
                <w:rFonts w:eastAsia="Times New Roman"/>
                <w:color w:val="000000"/>
                <w:sz w:val="18"/>
              </w:rPr>
              <w:t>I</w:t>
            </w:r>
          </w:p>
        </w:tc>
      </w:tr>
      <w:tr w:rsidR="00164F62" w:rsidRPr="00842C9B" w14:paraId="1229EF10" w14:textId="77777777" w:rsidTr="00DD035C">
        <w:trPr>
          <w:trHeight w:val="6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0FC25245" w14:textId="77777777" w:rsidR="00164F62" w:rsidRPr="00842C9B" w:rsidRDefault="00164F62" w:rsidP="00A64D88">
            <w:pPr>
              <w:rPr>
                <w:rFonts w:eastAsia="Times New Roman"/>
                <w:color w:val="000000"/>
              </w:rPr>
            </w:pPr>
            <w:r>
              <w:rPr>
                <w:rFonts w:eastAsia="Times New Roman"/>
                <w:color w:val="000000"/>
              </w:rPr>
              <w:t>Sales of</w:t>
            </w:r>
            <w:r w:rsidRPr="00DB5587">
              <w:rPr>
                <w:rFonts w:eastAsia="Times New Roman"/>
                <w:color w:val="000000"/>
              </w:rPr>
              <w:t xml:space="preserve"> </w:t>
            </w:r>
            <w:r>
              <w:rPr>
                <w:rFonts w:eastAsia="Times New Roman"/>
                <w:color w:val="000000"/>
              </w:rPr>
              <w:t xml:space="preserve">green products (and services) on total of </w:t>
            </w:r>
            <w:r w:rsidRPr="00DB5587">
              <w:rPr>
                <w:rFonts w:eastAsia="Times New Roman"/>
                <w:color w:val="000000"/>
              </w:rPr>
              <w:t>sales</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2CDAE999" w14:textId="77777777" w:rsidR="00164F62" w:rsidRPr="00FD1FB4" w:rsidRDefault="00164F62" w:rsidP="00A64D88">
            <w:pPr>
              <w:rPr>
                <w:rFonts w:eastAsia="Times New Roman"/>
                <w:color w:val="000000"/>
                <w:sz w:val="18"/>
              </w:rPr>
            </w:pPr>
            <w:r w:rsidRPr="00FD1FB4">
              <w:rPr>
                <w:rFonts w:eastAsia="Times New Roman"/>
                <w:color w:val="000000"/>
                <w:sz w:val="18"/>
              </w:rPr>
              <w:t>Ability to convert environmental commitment into business and introduce green solutions in</w:t>
            </w:r>
            <w:r>
              <w:rPr>
                <w:rFonts w:eastAsia="Times New Roman"/>
                <w:color w:val="000000"/>
                <w:sz w:val="18"/>
              </w:rPr>
              <w:t>to</w:t>
            </w:r>
            <w:r w:rsidRPr="00FD1FB4">
              <w:rPr>
                <w:rFonts w:eastAsia="Times New Roman"/>
                <w:color w:val="000000"/>
                <w:sz w:val="18"/>
              </w:rPr>
              <w:t xml:space="preserve"> the value chain</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54065D3"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(Sales of green products and green services/ t</w:t>
            </w:r>
            <w:r w:rsidRPr="001D3B67">
              <w:rPr>
                <w:rFonts w:eastAsia="Times New Roman"/>
                <w:color w:val="000000"/>
                <w:sz w:val="18"/>
                <w:szCs w:val="18"/>
              </w:rPr>
              <w:t xml:space="preserve">otal </w:t>
            </w:r>
            <w:r>
              <w:rPr>
                <w:rFonts w:eastAsia="Times New Roman"/>
                <w:color w:val="000000"/>
                <w:sz w:val="18"/>
                <w:szCs w:val="18"/>
              </w:rPr>
              <w:t>of sales) x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28F4849"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7DD5034A" w14:textId="77777777" w:rsidR="00164F62" w:rsidRPr="00A70C98" w:rsidRDefault="00164F62" w:rsidP="00A64D88">
            <w:pPr>
              <w:jc w:val="center"/>
              <w:rPr>
                <w:rFonts w:eastAsia="Times New Roman"/>
                <w:color w:val="000000"/>
                <w:sz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FEC27F0"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51C51E58" w14:textId="77777777" w:rsidR="00164F62" w:rsidRPr="00A70C98" w:rsidRDefault="00164F62" w:rsidP="00A64D88">
            <w:pPr>
              <w:jc w:val="center"/>
              <w:rPr>
                <w:rFonts w:eastAsia="Times New Roman"/>
                <w:color w:val="000000"/>
                <w:sz w:val="18"/>
              </w:rPr>
            </w:pPr>
            <w:r>
              <w:rPr>
                <w:rFonts w:eastAsia="Times New Roman"/>
                <w:color w:val="000000"/>
                <w:sz w:val="18"/>
              </w:rPr>
              <w:t>I</w:t>
            </w:r>
          </w:p>
        </w:tc>
      </w:tr>
    </w:tbl>
    <w:p w14:paraId="6DC4EB29" w14:textId="77777777" w:rsidR="00164F62" w:rsidRPr="0024691E" w:rsidRDefault="00164F62" w:rsidP="00164F62">
      <w:pPr>
        <w:rPr>
          <w:rFonts w:eastAsia="Times New Roman"/>
          <w:b/>
          <w:color w:val="000000"/>
          <w:sz w:val="6"/>
          <w:szCs w:val="6"/>
        </w:rPr>
      </w:pPr>
    </w:p>
    <w:p w14:paraId="367E867F" w14:textId="77777777" w:rsidR="00164F62" w:rsidRPr="0024691E" w:rsidRDefault="00164F62" w:rsidP="00164F62">
      <w:pPr>
        <w:rPr>
          <w:rFonts w:eastAsia="Times New Roman"/>
          <w:b/>
          <w:color w:val="000000"/>
        </w:rPr>
      </w:pPr>
      <w:r w:rsidRPr="001904E2">
        <w:rPr>
          <w:rFonts w:eastAsia="Times New Roman"/>
          <w:b/>
          <w:color w:val="000000"/>
        </w:rPr>
        <w:t xml:space="preserve">Financial Stability </w:t>
      </w:r>
      <w:r>
        <w:rPr>
          <w:rFonts w:eastAsia="Times New Roman"/>
          <w:b/>
          <w:color w:val="000000"/>
        </w:rPr>
        <w:t>(2</w:t>
      </w:r>
      <w:r w:rsidRPr="001904E2">
        <w:rPr>
          <w:rFonts w:eastAsia="Times New Roman"/>
          <w:b/>
          <w:color w:val="000000"/>
        </w:rPr>
        <w:t>)</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842C9B" w14:paraId="3D741658" w14:textId="77777777" w:rsidTr="00DD035C">
        <w:trPr>
          <w:trHeight w:val="1738"/>
        </w:trPr>
        <w:tc>
          <w:tcPr>
            <w:tcW w:w="1980" w:type="dxa"/>
            <w:tcBorders>
              <w:top w:val="single" w:sz="4" w:space="0" w:color="auto"/>
              <w:left w:val="single" w:sz="4" w:space="0" w:color="auto"/>
              <w:bottom w:val="single" w:sz="4" w:space="0" w:color="000000"/>
              <w:right w:val="single" w:sz="4" w:space="0" w:color="auto"/>
            </w:tcBorders>
            <w:shd w:val="clear" w:color="000000" w:fill="FFFFFF"/>
            <w:vAlign w:val="center"/>
          </w:tcPr>
          <w:p w14:paraId="2EFA80B1" w14:textId="77777777" w:rsidR="00164F62" w:rsidRPr="003D250B" w:rsidRDefault="00164F62" w:rsidP="00A64D88">
            <w:pPr>
              <w:rPr>
                <w:lang w:val="pt-PT"/>
              </w:rPr>
            </w:pPr>
            <w:r>
              <w:rPr>
                <w:rFonts w:eastAsia="Times New Roman"/>
                <w:color w:val="000000"/>
              </w:rPr>
              <w:t>EBITDA profit margin (profitability)</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5B27D5E0" w14:textId="77777777" w:rsidR="00164F62" w:rsidRPr="00574E1C" w:rsidRDefault="00164F62" w:rsidP="00A64D88">
            <w:pPr>
              <w:rPr>
                <w:rFonts w:eastAsia="Times New Roman"/>
                <w:color w:val="000000"/>
                <w:sz w:val="18"/>
              </w:rPr>
            </w:pPr>
            <w:r>
              <w:rPr>
                <w:rFonts w:eastAsia="Times New Roman"/>
                <w:color w:val="000000"/>
                <w:sz w:val="18"/>
              </w:rPr>
              <w:t>Ability to generate profit, through higher prices based on quality advantage, perception or branding; or through lower product costs due to production efficiency or economies of scale</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2244C878" w14:textId="77777777" w:rsidR="00164F62" w:rsidRPr="002416A2" w:rsidRDefault="00164F62" w:rsidP="00A64D88">
            <w:pPr>
              <w:jc w:val="center"/>
              <w:rPr>
                <w:rFonts w:eastAsia="Times New Roman"/>
                <w:color w:val="000000"/>
                <w:sz w:val="18"/>
                <w:szCs w:val="18"/>
              </w:rPr>
            </w:pPr>
            <w:r w:rsidRPr="0050457E">
              <w:rPr>
                <w:rFonts w:eastAsia="Times New Roman"/>
                <w:color w:val="000000"/>
                <w:sz w:val="18"/>
                <w:szCs w:val="18"/>
              </w:rPr>
              <w:t xml:space="preserve">(EBITDA/ Gross </w:t>
            </w:r>
            <w:r>
              <w:rPr>
                <w:rFonts w:eastAsia="Times New Roman"/>
                <w:color w:val="000000"/>
                <w:sz w:val="18"/>
                <w:szCs w:val="18"/>
              </w:rPr>
              <w:t>r</w:t>
            </w:r>
            <w:r w:rsidRPr="0050457E">
              <w:rPr>
                <w:rFonts w:eastAsia="Times New Roman"/>
                <w:color w:val="000000"/>
                <w:sz w:val="18"/>
                <w:szCs w:val="18"/>
              </w:rPr>
              <w:t>evenue) x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43CB721E" w14:textId="77777777" w:rsidR="00164F62" w:rsidRDefault="00164F62" w:rsidP="00A64D88">
            <w:pPr>
              <w:jc w:val="center"/>
              <w:rPr>
                <w:rFonts w:eastAsia="Times New Roman"/>
                <w:color w:val="000000"/>
                <w:sz w:val="18"/>
              </w:rPr>
            </w:pPr>
            <w:r>
              <w:rPr>
                <w:rFonts w:eastAsia="Times New Roman"/>
                <w:color w:val="000000"/>
                <w:sz w:val="1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6EE5D086" w14:textId="77777777" w:rsidR="00164F62" w:rsidRPr="00A70C98" w:rsidRDefault="00164F62" w:rsidP="00A64D88">
            <w:pPr>
              <w:jc w:val="center"/>
              <w:rPr>
                <w:rFonts w:eastAsia="Times New Roman"/>
                <w:color w:val="000000"/>
                <w:sz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017D868A" w14:textId="77777777" w:rsidR="00164F62" w:rsidRPr="00A70C98" w:rsidRDefault="00164F62" w:rsidP="00A64D88">
            <w:pPr>
              <w:jc w:val="center"/>
              <w:rPr>
                <w:rFonts w:eastAsia="Times New Roman"/>
                <w:color w:val="000000"/>
                <w:sz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79F184D" w14:textId="77777777" w:rsidR="00164F62" w:rsidRPr="00A70C98" w:rsidRDefault="00164F62" w:rsidP="00A64D88">
            <w:pPr>
              <w:jc w:val="center"/>
              <w:rPr>
                <w:rFonts w:eastAsia="Times New Roman"/>
                <w:color w:val="000000"/>
                <w:sz w:val="18"/>
              </w:rPr>
            </w:pPr>
            <w:r>
              <w:rPr>
                <w:rFonts w:eastAsia="Times New Roman"/>
                <w:color w:val="000000"/>
                <w:sz w:val="18"/>
              </w:rPr>
              <w:t>I</w:t>
            </w:r>
          </w:p>
        </w:tc>
      </w:tr>
      <w:tr w:rsidR="00164F62" w:rsidRPr="00842C9B" w14:paraId="2D456803" w14:textId="77777777" w:rsidTr="00DD035C">
        <w:trPr>
          <w:trHeight w:val="995"/>
        </w:trPr>
        <w:tc>
          <w:tcPr>
            <w:tcW w:w="1980" w:type="dxa"/>
            <w:tcBorders>
              <w:top w:val="nil"/>
              <w:left w:val="single" w:sz="4" w:space="0" w:color="auto"/>
              <w:bottom w:val="single" w:sz="4" w:space="0" w:color="000000"/>
              <w:right w:val="single" w:sz="4" w:space="0" w:color="auto"/>
            </w:tcBorders>
            <w:shd w:val="clear" w:color="000000" w:fill="FFFFFF"/>
            <w:vAlign w:val="center"/>
          </w:tcPr>
          <w:p w14:paraId="298A0124" w14:textId="77777777" w:rsidR="00164F62" w:rsidRPr="00842C9B" w:rsidRDefault="00164F62" w:rsidP="00A64D88">
            <w:pPr>
              <w:rPr>
                <w:rFonts w:eastAsia="Times New Roman"/>
                <w:color w:val="000000"/>
              </w:rPr>
            </w:pPr>
            <w:proofErr w:type="spellStart"/>
            <w:r w:rsidRPr="00E034BE">
              <w:rPr>
                <w:rFonts w:eastAsia="Times New Roman"/>
                <w:color w:val="000000"/>
              </w:rPr>
              <w:t>RoPDE</w:t>
            </w:r>
            <w:proofErr w:type="spellEnd"/>
            <w:r w:rsidRPr="00E034BE">
              <w:rPr>
                <w:rFonts w:eastAsia="Times New Roman"/>
                <w:color w:val="000000"/>
              </w:rPr>
              <w:t xml:space="preserve"> </w:t>
            </w:r>
            <w:r>
              <w:rPr>
                <w:rFonts w:eastAsia="Times New Roman"/>
                <w:color w:val="000000"/>
              </w:rPr>
              <w:t>(</w:t>
            </w:r>
            <w:r w:rsidRPr="00E034BE">
              <w:rPr>
                <w:rFonts w:eastAsia="Times New Roman"/>
                <w:color w:val="000000"/>
              </w:rPr>
              <w:t xml:space="preserve">Return on </w:t>
            </w:r>
            <w:r>
              <w:rPr>
                <w:rFonts w:eastAsia="Times New Roman"/>
                <w:color w:val="000000"/>
              </w:rPr>
              <w:t>product development expense)</w:t>
            </w:r>
          </w:p>
        </w:tc>
        <w:tc>
          <w:tcPr>
            <w:tcW w:w="1984" w:type="dxa"/>
            <w:tcBorders>
              <w:top w:val="nil"/>
              <w:left w:val="nil"/>
              <w:bottom w:val="single" w:sz="4" w:space="0" w:color="auto"/>
              <w:right w:val="single" w:sz="4" w:space="0" w:color="auto"/>
            </w:tcBorders>
            <w:shd w:val="clear" w:color="000000" w:fill="FFFFFF"/>
            <w:vAlign w:val="center"/>
          </w:tcPr>
          <w:p w14:paraId="2E5A8D62" w14:textId="77777777" w:rsidR="00164F62" w:rsidRPr="00574E1C" w:rsidRDefault="00164F62" w:rsidP="00A64D88">
            <w:pPr>
              <w:rPr>
                <w:rFonts w:eastAsia="Times New Roman"/>
                <w:color w:val="000000"/>
                <w:sz w:val="18"/>
              </w:rPr>
            </w:pPr>
            <w:r w:rsidRPr="00483B6E">
              <w:rPr>
                <w:rFonts w:eastAsia="Times New Roman"/>
                <w:color w:val="000000"/>
                <w:sz w:val="18"/>
              </w:rPr>
              <w:t>Innovation effectiveness (ability to generate earnings by new products or services)</w:t>
            </w:r>
          </w:p>
        </w:tc>
        <w:tc>
          <w:tcPr>
            <w:tcW w:w="2410" w:type="dxa"/>
            <w:tcBorders>
              <w:top w:val="nil"/>
              <w:left w:val="nil"/>
              <w:bottom w:val="single" w:sz="4" w:space="0" w:color="auto"/>
              <w:right w:val="single" w:sz="4" w:space="0" w:color="auto"/>
            </w:tcBorders>
            <w:shd w:val="clear" w:color="000000" w:fill="FFFFFF"/>
            <w:vAlign w:val="center"/>
          </w:tcPr>
          <w:p w14:paraId="62EEB121" w14:textId="7F0A945D" w:rsidR="00164F62" w:rsidRPr="002416A2" w:rsidRDefault="00B85434" w:rsidP="00A64D88">
            <w:pPr>
              <w:jc w:val="center"/>
              <w:rPr>
                <w:rFonts w:eastAsia="Times New Roman"/>
                <w:color w:val="000000"/>
                <w:sz w:val="18"/>
                <w:szCs w:val="18"/>
              </w:rPr>
            </w:pPr>
            <w:r>
              <w:rPr>
                <w:rFonts w:eastAsia="Times New Roman"/>
                <w:color w:val="000000"/>
                <w:sz w:val="18"/>
                <w:szCs w:val="18"/>
              </w:rPr>
              <w:t>(Gross Margin – PDE)/ PDE x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A0E3898"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0E9E17DB"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709" w:type="dxa"/>
            <w:tcBorders>
              <w:top w:val="nil"/>
              <w:left w:val="nil"/>
              <w:bottom w:val="single" w:sz="4" w:space="0" w:color="auto"/>
              <w:right w:val="single" w:sz="4" w:space="0" w:color="auto"/>
            </w:tcBorders>
            <w:shd w:val="clear" w:color="000000" w:fill="FFFFFF"/>
            <w:vAlign w:val="center"/>
          </w:tcPr>
          <w:p w14:paraId="6205F11E"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nil"/>
              <w:left w:val="nil"/>
              <w:bottom w:val="single" w:sz="4" w:space="0" w:color="auto"/>
              <w:right w:val="single" w:sz="4" w:space="0" w:color="auto"/>
            </w:tcBorders>
            <w:shd w:val="clear" w:color="000000" w:fill="FFFFFF"/>
            <w:vAlign w:val="center"/>
          </w:tcPr>
          <w:p w14:paraId="18FFED75"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bl>
    <w:p w14:paraId="5AB41201" w14:textId="77777777" w:rsidR="00164F62" w:rsidRPr="0024691E" w:rsidRDefault="00164F62" w:rsidP="00164F62">
      <w:pPr>
        <w:rPr>
          <w:rFonts w:eastAsia="Times New Roman"/>
          <w:b/>
          <w:color w:val="000000"/>
          <w:sz w:val="6"/>
          <w:szCs w:val="6"/>
        </w:rPr>
      </w:pPr>
    </w:p>
    <w:p w14:paraId="26A2D160" w14:textId="77777777" w:rsidR="00AF573A" w:rsidRDefault="00AF573A">
      <w:pPr>
        <w:spacing w:after="160" w:line="259" w:lineRule="auto"/>
        <w:rPr>
          <w:rFonts w:eastAsia="Times New Roman"/>
          <w:b/>
          <w:color w:val="000000"/>
        </w:rPr>
      </w:pPr>
      <w:r>
        <w:rPr>
          <w:rFonts w:eastAsia="Times New Roman"/>
          <w:b/>
          <w:color w:val="000000"/>
        </w:rPr>
        <w:br w:type="page"/>
      </w:r>
    </w:p>
    <w:p w14:paraId="4923A52D" w14:textId="57CE7672" w:rsidR="00164F62" w:rsidRPr="0024691E" w:rsidRDefault="00164F62" w:rsidP="00164F62">
      <w:pPr>
        <w:rPr>
          <w:rFonts w:eastAsia="Times New Roman"/>
          <w:b/>
          <w:color w:val="000000"/>
        </w:rPr>
      </w:pPr>
      <w:r>
        <w:rPr>
          <w:rFonts w:eastAsia="Times New Roman"/>
          <w:b/>
          <w:color w:val="000000"/>
        </w:rPr>
        <w:lastRenderedPageBreak/>
        <w:t>Organizational Wellbeing (3</w:t>
      </w:r>
      <w:r w:rsidRPr="00BD2D13">
        <w:rPr>
          <w:rFonts w:eastAsia="Times New Roman"/>
          <w:b/>
          <w:color w:val="000000"/>
        </w:rPr>
        <w:t>)</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842C9B" w14:paraId="4D1DF940" w14:textId="77777777" w:rsidTr="00DD035C">
        <w:trPr>
          <w:trHeight w:val="912"/>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849001" w14:textId="77777777" w:rsidR="00164F62" w:rsidRPr="00842C9B" w:rsidRDefault="00164F62" w:rsidP="00A64D88">
            <w:pPr>
              <w:rPr>
                <w:rFonts w:eastAsia="Times New Roman"/>
                <w:color w:val="000000"/>
              </w:rPr>
            </w:pPr>
            <w:r>
              <w:rPr>
                <w:rFonts w:eastAsia="Times New Roman"/>
                <w:color w:val="000000"/>
              </w:rPr>
              <w:t>H</w:t>
            </w:r>
            <w:r w:rsidRPr="00546067">
              <w:rPr>
                <w:rFonts w:eastAsia="Times New Roman"/>
                <w:color w:val="000000"/>
              </w:rPr>
              <w:t>igh qualified employee</w:t>
            </w:r>
            <w:r>
              <w:rPr>
                <w:rFonts w:eastAsia="Times New Roman"/>
                <w:color w:val="000000"/>
              </w:rPr>
              <w:t xml:space="preserve"> rate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3955C57" w14:textId="77777777" w:rsidR="00164F62" w:rsidRPr="000A1445" w:rsidRDefault="00164F62" w:rsidP="00A64D88">
            <w:pPr>
              <w:rPr>
                <w:rFonts w:eastAsia="Times New Roman"/>
                <w:color w:val="000000"/>
                <w:sz w:val="18"/>
              </w:rPr>
            </w:pPr>
            <w:r>
              <w:rPr>
                <w:rFonts w:eastAsia="Times New Roman"/>
                <w:color w:val="000000"/>
                <w:sz w:val="18"/>
              </w:rPr>
              <w:t>Commitment to excel, continuous improvement, research and innovation</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40457B1" w14:textId="77777777" w:rsidR="00164F62" w:rsidRPr="002416A2" w:rsidRDefault="00164F62" w:rsidP="00A64D88">
            <w:pPr>
              <w:jc w:val="center"/>
              <w:rPr>
                <w:rFonts w:eastAsia="Times New Roman"/>
                <w:color w:val="000000"/>
                <w:sz w:val="18"/>
                <w:szCs w:val="18"/>
              </w:rPr>
            </w:pPr>
            <w:r w:rsidRPr="001D3B67">
              <w:rPr>
                <w:rFonts w:eastAsia="Times New Roman"/>
                <w:color w:val="000000"/>
                <w:sz w:val="18"/>
                <w:szCs w:val="18"/>
              </w:rPr>
              <w:t>(</w:t>
            </w:r>
            <w:r w:rsidRPr="002416A2">
              <w:rPr>
                <w:rFonts w:eastAsia="Times New Roman"/>
                <w:color w:val="000000"/>
                <w:sz w:val="18"/>
                <w:szCs w:val="18"/>
              </w:rPr>
              <w:t>Nº of employee</w:t>
            </w:r>
            <w:r>
              <w:rPr>
                <w:rFonts w:eastAsia="Times New Roman"/>
                <w:color w:val="000000"/>
                <w:sz w:val="18"/>
                <w:szCs w:val="18"/>
              </w:rPr>
              <w:t xml:space="preserve">s with doctoral or </w:t>
            </w:r>
            <w:proofErr w:type="gramStart"/>
            <w:r>
              <w:rPr>
                <w:rFonts w:eastAsia="Times New Roman"/>
                <w:color w:val="000000"/>
                <w:sz w:val="18"/>
                <w:szCs w:val="18"/>
              </w:rPr>
              <w:t>m</w:t>
            </w:r>
            <w:r w:rsidRPr="002416A2">
              <w:rPr>
                <w:rFonts w:eastAsia="Times New Roman"/>
                <w:color w:val="000000"/>
                <w:sz w:val="18"/>
                <w:szCs w:val="18"/>
              </w:rPr>
              <w:t>aster</w:t>
            </w:r>
            <w:proofErr w:type="gramEnd"/>
            <w:r w:rsidRPr="002416A2">
              <w:rPr>
                <w:rFonts w:eastAsia="Times New Roman"/>
                <w:color w:val="000000"/>
                <w:sz w:val="18"/>
                <w:szCs w:val="18"/>
              </w:rPr>
              <w:t xml:space="preserve"> degree/</w:t>
            </w:r>
            <w:r>
              <w:rPr>
                <w:rFonts w:eastAsia="Times New Roman"/>
                <w:color w:val="000000"/>
                <w:sz w:val="18"/>
                <w:szCs w:val="18"/>
              </w:rPr>
              <w:t xml:space="preserve"> total nº</w:t>
            </w:r>
            <w:r w:rsidRPr="002416A2">
              <w:rPr>
                <w:rFonts w:eastAsia="Times New Roman"/>
                <w:color w:val="000000"/>
                <w:sz w:val="18"/>
                <w:szCs w:val="18"/>
              </w:rPr>
              <w:t xml:space="preserve"> of employees</w:t>
            </w:r>
            <w:r>
              <w:rPr>
                <w:rFonts w:eastAsia="Times New Roman"/>
                <w:color w:val="000000"/>
                <w:sz w:val="18"/>
                <w:szCs w:val="18"/>
              </w:rPr>
              <w:t>) x</w:t>
            </w:r>
            <w:r w:rsidRPr="002416A2">
              <w:rPr>
                <w:rFonts w:eastAsia="Times New Roman"/>
                <w:color w:val="000000"/>
                <w:sz w:val="18"/>
                <w:szCs w:val="18"/>
              </w:rPr>
              <w:t xml:space="preserve">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35A4CBDC" w14:textId="77777777" w:rsidR="00164F62" w:rsidRPr="00A70C98" w:rsidRDefault="00164F62" w:rsidP="00A64D88">
            <w:pPr>
              <w:jc w:val="center"/>
              <w:rPr>
                <w:rFonts w:eastAsia="Times New Roman"/>
                <w:color w:val="000000"/>
                <w:sz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0E2D975C"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06144F23" w14:textId="77777777" w:rsidR="00164F62" w:rsidRPr="00A70C98" w:rsidRDefault="00164F62" w:rsidP="00A64D88">
            <w:pPr>
              <w:jc w:val="center"/>
              <w:rPr>
                <w:rFonts w:eastAsia="Times New Roman"/>
                <w:color w:val="000000"/>
                <w:sz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542C935B"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r w:rsidR="00164F62" w:rsidRPr="00842C9B" w14:paraId="48C96658" w14:textId="77777777" w:rsidTr="00DD035C">
        <w:trPr>
          <w:trHeight w:val="1363"/>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11EFFB5F" w14:textId="77777777" w:rsidR="00164F62" w:rsidRPr="00842C9B" w:rsidRDefault="00164F62" w:rsidP="00A64D88">
            <w:pPr>
              <w:rPr>
                <w:rFonts w:eastAsia="Times New Roman"/>
                <w:color w:val="000000"/>
              </w:rPr>
            </w:pPr>
            <w:r>
              <w:rPr>
                <w:rFonts w:eastAsia="Times New Roman"/>
                <w:color w:val="000000"/>
              </w:rPr>
              <w:t>T</w:t>
            </w:r>
            <w:r w:rsidRPr="003607B9">
              <w:rPr>
                <w:rFonts w:eastAsia="Times New Roman"/>
                <w:color w:val="000000"/>
              </w:rPr>
              <w:t xml:space="preserve">raining costs </w:t>
            </w:r>
            <w:r>
              <w:rPr>
                <w:rFonts w:eastAsia="Times New Roman"/>
                <w:color w:val="000000"/>
              </w:rPr>
              <w:t>per employee</w:t>
            </w:r>
          </w:p>
        </w:tc>
        <w:tc>
          <w:tcPr>
            <w:tcW w:w="1984" w:type="dxa"/>
            <w:tcBorders>
              <w:top w:val="nil"/>
              <w:left w:val="nil"/>
              <w:bottom w:val="single" w:sz="4" w:space="0" w:color="auto"/>
              <w:right w:val="single" w:sz="4" w:space="0" w:color="auto"/>
            </w:tcBorders>
            <w:shd w:val="clear" w:color="000000" w:fill="FFFFFF"/>
            <w:vAlign w:val="center"/>
          </w:tcPr>
          <w:p w14:paraId="3E8B2D4D" w14:textId="77777777" w:rsidR="00164F62" w:rsidRPr="000A1445" w:rsidRDefault="00164F62" w:rsidP="00A64D88">
            <w:pPr>
              <w:rPr>
                <w:rFonts w:eastAsia="Times New Roman"/>
                <w:color w:val="000000"/>
                <w:sz w:val="18"/>
              </w:rPr>
            </w:pPr>
            <w:r>
              <w:rPr>
                <w:rFonts w:eastAsia="Times New Roman"/>
                <w:color w:val="000000"/>
                <w:sz w:val="18"/>
              </w:rPr>
              <w:t>Commitment to continuous training and development of employees’ skills to promote improvements and innovation</w:t>
            </w:r>
          </w:p>
        </w:tc>
        <w:tc>
          <w:tcPr>
            <w:tcW w:w="2410" w:type="dxa"/>
            <w:tcBorders>
              <w:top w:val="nil"/>
              <w:left w:val="nil"/>
              <w:bottom w:val="single" w:sz="4" w:space="0" w:color="auto"/>
              <w:right w:val="single" w:sz="4" w:space="0" w:color="auto"/>
            </w:tcBorders>
            <w:shd w:val="clear" w:color="000000" w:fill="FFFFFF"/>
            <w:vAlign w:val="center"/>
          </w:tcPr>
          <w:p w14:paraId="7C55A8E1"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Total training cost/ total nº of employees</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D3CABA2" w14:textId="77777777" w:rsidR="00164F62" w:rsidRPr="00A70C98" w:rsidRDefault="00164F62" w:rsidP="00A64D88">
            <w:pPr>
              <w:jc w:val="center"/>
              <w:rPr>
                <w:rFonts w:eastAsia="Times New Roman"/>
                <w:color w:val="000000"/>
                <w:sz w:val="18"/>
              </w:rPr>
            </w:pPr>
          </w:p>
        </w:tc>
        <w:tc>
          <w:tcPr>
            <w:tcW w:w="567" w:type="dxa"/>
            <w:tcBorders>
              <w:top w:val="nil"/>
              <w:left w:val="single" w:sz="4" w:space="0" w:color="auto"/>
              <w:bottom w:val="single" w:sz="4" w:space="0" w:color="auto"/>
              <w:right w:val="single" w:sz="4" w:space="0" w:color="auto"/>
            </w:tcBorders>
            <w:shd w:val="clear" w:color="000000" w:fill="FFFFFF"/>
            <w:vAlign w:val="center"/>
          </w:tcPr>
          <w:p w14:paraId="1B915546"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709" w:type="dxa"/>
            <w:tcBorders>
              <w:top w:val="nil"/>
              <w:left w:val="nil"/>
              <w:bottom w:val="single" w:sz="4" w:space="0" w:color="auto"/>
              <w:right w:val="single" w:sz="4" w:space="0" w:color="auto"/>
            </w:tcBorders>
            <w:shd w:val="clear" w:color="000000" w:fill="FFFFFF"/>
            <w:vAlign w:val="center"/>
          </w:tcPr>
          <w:p w14:paraId="318115CE" w14:textId="77777777" w:rsidR="00164F62" w:rsidRPr="00A70C98" w:rsidRDefault="00164F62" w:rsidP="00A64D88">
            <w:pPr>
              <w:jc w:val="center"/>
              <w:rPr>
                <w:rFonts w:eastAsia="Times New Roman"/>
                <w:color w:val="000000"/>
                <w:sz w:val="18"/>
              </w:rPr>
            </w:pPr>
          </w:p>
        </w:tc>
        <w:tc>
          <w:tcPr>
            <w:tcW w:w="567" w:type="dxa"/>
            <w:tcBorders>
              <w:top w:val="nil"/>
              <w:left w:val="nil"/>
              <w:bottom w:val="single" w:sz="4" w:space="0" w:color="auto"/>
              <w:right w:val="single" w:sz="4" w:space="0" w:color="auto"/>
            </w:tcBorders>
            <w:shd w:val="clear" w:color="000000" w:fill="FFFFFF"/>
            <w:vAlign w:val="center"/>
          </w:tcPr>
          <w:p w14:paraId="402E3C3A" w14:textId="77777777" w:rsidR="00164F62" w:rsidRPr="00A70C98" w:rsidRDefault="00164F62" w:rsidP="00A64D88">
            <w:pPr>
              <w:jc w:val="center"/>
              <w:rPr>
                <w:rFonts w:eastAsia="Times New Roman"/>
                <w:color w:val="000000"/>
                <w:sz w:val="18"/>
              </w:rPr>
            </w:pPr>
            <w:r w:rsidRPr="00A70C98">
              <w:rPr>
                <w:rFonts w:eastAsia="Times New Roman"/>
                <w:color w:val="000000"/>
                <w:sz w:val="18"/>
              </w:rPr>
              <w:t>R/I</w:t>
            </w:r>
          </w:p>
        </w:tc>
      </w:tr>
      <w:tr w:rsidR="00164F62" w:rsidRPr="00842C9B" w14:paraId="67273237" w14:textId="77777777" w:rsidTr="00DD035C">
        <w:trPr>
          <w:trHeight w:val="600"/>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71681FAC" w14:textId="77777777" w:rsidR="00164F62" w:rsidRPr="00842C9B" w:rsidRDefault="00164F62" w:rsidP="00A64D88">
            <w:pPr>
              <w:rPr>
                <w:rFonts w:eastAsia="Times New Roman"/>
                <w:color w:val="000000"/>
              </w:rPr>
            </w:pPr>
            <w:r>
              <w:rPr>
                <w:rFonts w:eastAsia="Times New Roman"/>
                <w:color w:val="000000"/>
              </w:rPr>
              <w:t>Carbon footprint per employee</w:t>
            </w:r>
          </w:p>
        </w:tc>
        <w:tc>
          <w:tcPr>
            <w:tcW w:w="1984" w:type="dxa"/>
            <w:tcBorders>
              <w:top w:val="nil"/>
              <w:left w:val="nil"/>
              <w:bottom w:val="single" w:sz="4" w:space="0" w:color="auto"/>
              <w:right w:val="single" w:sz="4" w:space="0" w:color="auto"/>
            </w:tcBorders>
            <w:shd w:val="clear" w:color="000000" w:fill="FFFFFF"/>
            <w:vAlign w:val="center"/>
          </w:tcPr>
          <w:p w14:paraId="4294044B" w14:textId="77777777" w:rsidR="00164F62" w:rsidRPr="000A1445" w:rsidRDefault="00164F62" w:rsidP="00A64D88">
            <w:pPr>
              <w:rPr>
                <w:rFonts w:eastAsia="Times New Roman"/>
                <w:color w:val="000000"/>
                <w:sz w:val="18"/>
              </w:rPr>
            </w:pPr>
            <w:r>
              <w:rPr>
                <w:rFonts w:eastAsia="Times New Roman"/>
                <w:color w:val="000000"/>
                <w:sz w:val="18"/>
              </w:rPr>
              <w:t>Capacity to reduce carbon emission</w:t>
            </w:r>
          </w:p>
        </w:tc>
        <w:tc>
          <w:tcPr>
            <w:tcW w:w="2410" w:type="dxa"/>
            <w:tcBorders>
              <w:top w:val="nil"/>
              <w:left w:val="nil"/>
              <w:bottom w:val="single" w:sz="4" w:space="0" w:color="auto"/>
              <w:right w:val="single" w:sz="4" w:space="0" w:color="auto"/>
            </w:tcBorders>
            <w:shd w:val="clear" w:color="000000" w:fill="FFFFFF"/>
            <w:vAlign w:val="center"/>
          </w:tcPr>
          <w:p w14:paraId="43757FFF"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Total carbon emission/ total nº of employees</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0DBC2FCF" w14:textId="77777777" w:rsidR="00164F62" w:rsidRPr="00A70C98" w:rsidRDefault="00164F62" w:rsidP="00A64D88">
            <w:pPr>
              <w:jc w:val="center"/>
              <w:rPr>
                <w:rFonts w:eastAsia="Times New Roman"/>
                <w:color w:val="000000"/>
                <w:sz w:val="18"/>
              </w:rPr>
            </w:pPr>
          </w:p>
        </w:tc>
        <w:tc>
          <w:tcPr>
            <w:tcW w:w="567" w:type="dxa"/>
            <w:tcBorders>
              <w:top w:val="nil"/>
              <w:left w:val="single" w:sz="4" w:space="0" w:color="auto"/>
              <w:bottom w:val="single" w:sz="4" w:space="0" w:color="auto"/>
              <w:right w:val="single" w:sz="4" w:space="0" w:color="auto"/>
            </w:tcBorders>
            <w:shd w:val="clear" w:color="000000" w:fill="FFFFFF"/>
            <w:vAlign w:val="center"/>
          </w:tcPr>
          <w:p w14:paraId="0782C755" w14:textId="77777777" w:rsidR="00164F62" w:rsidRPr="00A70C98" w:rsidRDefault="00164F62" w:rsidP="00A64D88">
            <w:pPr>
              <w:jc w:val="center"/>
              <w:rPr>
                <w:rFonts w:eastAsia="Times New Roman"/>
                <w:color w:val="000000"/>
                <w:sz w:val="18"/>
              </w:rPr>
            </w:pPr>
          </w:p>
        </w:tc>
        <w:tc>
          <w:tcPr>
            <w:tcW w:w="709" w:type="dxa"/>
            <w:tcBorders>
              <w:top w:val="nil"/>
              <w:left w:val="nil"/>
              <w:bottom w:val="single" w:sz="4" w:space="0" w:color="auto"/>
              <w:right w:val="single" w:sz="4" w:space="0" w:color="auto"/>
            </w:tcBorders>
            <w:shd w:val="clear" w:color="000000" w:fill="FFFFFF"/>
            <w:vAlign w:val="center"/>
          </w:tcPr>
          <w:p w14:paraId="3F25C505" w14:textId="77777777" w:rsidR="00164F62" w:rsidRPr="00A70C98" w:rsidRDefault="00164F62" w:rsidP="00A64D88">
            <w:pPr>
              <w:jc w:val="center"/>
              <w:rPr>
                <w:rFonts w:eastAsia="Times New Roman"/>
                <w:color w:val="000000"/>
                <w:sz w:val="18"/>
              </w:rPr>
            </w:pPr>
            <w:r w:rsidRPr="00A70C98">
              <w:rPr>
                <w:rFonts w:eastAsia="Times New Roman"/>
                <w:color w:val="000000"/>
                <w:sz w:val="18"/>
              </w:rPr>
              <w:t>X</w:t>
            </w:r>
          </w:p>
        </w:tc>
        <w:tc>
          <w:tcPr>
            <w:tcW w:w="567" w:type="dxa"/>
            <w:tcBorders>
              <w:top w:val="nil"/>
              <w:left w:val="nil"/>
              <w:bottom w:val="single" w:sz="4" w:space="0" w:color="auto"/>
              <w:right w:val="single" w:sz="4" w:space="0" w:color="auto"/>
            </w:tcBorders>
            <w:shd w:val="clear" w:color="000000" w:fill="FFFFFF"/>
            <w:vAlign w:val="center"/>
          </w:tcPr>
          <w:p w14:paraId="2704330D" w14:textId="77777777" w:rsidR="00164F62" w:rsidRPr="00A70C98" w:rsidRDefault="00164F62" w:rsidP="00A64D88">
            <w:pPr>
              <w:jc w:val="center"/>
              <w:rPr>
                <w:rFonts w:eastAsia="Times New Roman"/>
                <w:color w:val="000000"/>
                <w:sz w:val="18"/>
              </w:rPr>
            </w:pPr>
            <w:r w:rsidRPr="00A70C98">
              <w:rPr>
                <w:rFonts w:eastAsia="Times New Roman"/>
                <w:color w:val="000000"/>
                <w:sz w:val="18"/>
              </w:rPr>
              <w:t>I</w:t>
            </w:r>
          </w:p>
        </w:tc>
      </w:tr>
    </w:tbl>
    <w:p w14:paraId="65BE6688" w14:textId="77777777" w:rsidR="00164F62" w:rsidRPr="0024691E" w:rsidRDefault="00164F62" w:rsidP="00164F62">
      <w:pPr>
        <w:rPr>
          <w:rFonts w:eastAsia="Times New Roman"/>
          <w:b/>
          <w:color w:val="000000"/>
          <w:sz w:val="6"/>
          <w:szCs w:val="6"/>
        </w:rPr>
      </w:pPr>
    </w:p>
    <w:p w14:paraId="54706797" w14:textId="77777777" w:rsidR="00164F62" w:rsidRPr="0024691E" w:rsidRDefault="00164F62" w:rsidP="00164F62">
      <w:pPr>
        <w:rPr>
          <w:rFonts w:eastAsia="Times New Roman"/>
          <w:b/>
          <w:color w:val="000000"/>
        </w:rPr>
      </w:pPr>
      <w:r w:rsidRPr="00BD2D13">
        <w:rPr>
          <w:rFonts w:eastAsia="Times New Roman"/>
          <w:b/>
          <w:color w:val="000000"/>
        </w:rPr>
        <w:t>Operat</w:t>
      </w:r>
      <w:r>
        <w:rPr>
          <w:rFonts w:eastAsia="Times New Roman"/>
          <w:b/>
          <w:color w:val="000000"/>
        </w:rPr>
        <w:t>ional Leanness (3</w:t>
      </w:r>
      <w:r w:rsidRPr="00BD2D13">
        <w:rPr>
          <w:rFonts w:eastAsia="Times New Roman"/>
          <w:b/>
          <w:color w:val="000000"/>
        </w:rPr>
        <w:t>)</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C20279" w14:paraId="7A210EFA" w14:textId="77777777" w:rsidTr="00DD035C">
        <w:trPr>
          <w:trHeight w:val="727"/>
        </w:trPr>
        <w:tc>
          <w:tcPr>
            <w:tcW w:w="1980" w:type="dxa"/>
            <w:tcBorders>
              <w:top w:val="single" w:sz="4" w:space="0" w:color="auto"/>
              <w:left w:val="single" w:sz="4" w:space="0" w:color="auto"/>
              <w:bottom w:val="single" w:sz="4" w:space="0" w:color="000000"/>
              <w:right w:val="single" w:sz="4" w:space="0" w:color="auto"/>
            </w:tcBorders>
            <w:shd w:val="clear" w:color="auto" w:fill="auto"/>
            <w:vAlign w:val="center"/>
          </w:tcPr>
          <w:p w14:paraId="7742F32E" w14:textId="77777777" w:rsidR="00164F62" w:rsidRPr="00B13EF0" w:rsidRDefault="00164F62" w:rsidP="00A64D88">
            <w:pPr>
              <w:rPr>
                <w:rFonts w:eastAsia="Times New Roman"/>
                <w:color w:val="000000"/>
              </w:rPr>
            </w:pPr>
            <w:r w:rsidRPr="00B13EF0">
              <w:rPr>
                <w:rFonts w:eastAsia="Times New Roman"/>
                <w:color w:val="000000"/>
              </w:rPr>
              <w:t>OEE (Overall Equipment Effectiveness)</w:t>
            </w:r>
          </w:p>
        </w:tc>
        <w:tc>
          <w:tcPr>
            <w:tcW w:w="1984" w:type="dxa"/>
            <w:tcBorders>
              <w:top w:val="single" w:sz="4" w:space="0" w:color="auto"/>
              <w:left w:val="nil"/>
              <w:bottom w:val="single" w:sz="4" w:space="0" w:color="auto"/>
              <w:right w:val="single" w:sz="4" w:space="0" w:color="auto"/>
            </w:tcBorders>
            <w:shd w:val="clear" w:color="auto" w:fill="auto"/>
            <w:vAlign w:val="center"/>
          </w:tcPr>
          <w:p w14:paraId="5E78180E" w14:textId="77777777" w:rsidR="00164F62" w:rsidRPr="00B13EF0" w:rsidRDefault="00164F62" w:rsidP="00A64D88">
            <w:pPr>
              <w:rPr>
                <w:rFonts w:eastAsia="Times New Roman"/>
                <w:color w:val="000000"/>
                <w:sz w:val="18"/>
              </w:rPr>
            </w:pPr>
            <w:r w:rsidRPr="00B13EF0">
              <w:rPr>
                <w:rFonts w:eastAsia="Times New Roman"/>
                <w:color w:val="000000"/>
                <w:sz w:val="18"/>
              </w:rPr>
              <w:t>Operational productivity</w:t>
            </w:r>
          </w:p>
        </w:tc>
        <w:tc>
          <w:tcPr>
            <w:tcW w:w="2410" w:type="dxa"/>
            <w:tcBorders>
              <w:top w:val="single" w:sz="4" w:space="0" w:color="auto"/>
              <w:left w:val="nil"/>
              <w:bottom w:val="single" w:sz="4" w:space="0" w:color="auto"/>
              <w:right w:val="single" w:sz="4" w:space="0" w:color="auto"/>
            </w:tcBorders>
            <w:shd w:val="clear" w:color="auto" w:fill="auto"/>
            <w:vAlign w:val="center"/>
          </w:tcPr>
          <w:p w14:paraId="403FC41A" w14:textId="526D2408" w:rsidR="00164F62" w:rsidRPr="00B13EF0" w:rsidRDefault="00164F62" w:rsidP="00A64D88">
            <w:pPr>
              <w:jc w:val="center"/>
              <w:rPr>
                <w:rFonts w:eastAsia="Times New Roman"/>
                <w:color w:val="000000"/>
                <w:sz w:val="18"/>
                <w:szCs w:val="18"/>
              </w:rPr>
            </w:pPr>
            <w:r w:rsidRPr="00B13EF0">
              <w:rPr>
                <w:rFonts w:eastAsia="Times New Roman"/>
                <w:color w:val="000000"/>
                <w:sz w:val="18"/>
                <w:szCs w:val="18"/>
              </w:rPr>
              <w:t>Avail</w:t>
            </w:r>
            <w:r w:rsidR="00B85434">
              <w:rPr>
                <w:rFonts w:eastAsia="Times New Roman"/>
                <w:color w:val="000000"/>
                <w:sz w:val="18"/>
                <w:szCs w:val="18"/>
              </w:rPr>
              <w:t>ability x Performance x Quality</w:t>
            </w:r>
          </w:p>
        </w:tc>
        <w:tc>
          <w:tcPr>
            <w:tcW w:w="567" w:type="dxa"/>
            <w:tcBorders>
              <w:top w:val="single" w:sz="4" w:space="0" w:color="auto"/>
              <w:left w:val="nil"/>
              <w:bottom w:val="single" w:sz="4" w:space="0" w:color="auto"/>
              <w:right w:val="single" w:sz="4" w:space="0" w:color="auto"/>
            </w:tcBorders>
            <w:shd w:val="clear" w:color="auto" w:fill="auto"/>
            <w:vAlign w:val="center"/>
          </w:tcPr>
          <w:p w14:paraId="6952EC50" w14:textId="77777777" w:rsidR="00164F62" w:rsidRPr="00B13EF0" w:rsidRDefault="00164F62" w:rsidP="00A64D88">
            <w:pPr>
              <w:ind w:leftChars="-22" w:left="-44"/>
              <w:jc w:val="center"/>
              <w:rPr>
                <w:rFonts w:eastAsia="Times New Roman"/>
                <w:color w:val="000000"/>
                <w:sz w:val="18"/>
              </w:rPr>
            </w:pPr>
            <w:r w:rsidRPr="00B13EF0">
              <w:rPr>
                <w:rFonts w:eastAsia="Times New Roman"/>
                <w:color w:val="000000"/>
                <w:sz w:val="18"/>
              </w:rPr>
              <w:t>X</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40B538" w14:textId="77777777" w:rsidR="00164F62" w:rsidRPr="00B13EF0" w:rsidRDefault="00164F62" w:rsidP="00A64D88">
            <w:pPr>
              <w:ind w:leftChars="-22" w:left="-44"/>
              <w:jc w:val="center"/>
              <w:rPr>
                <w:rFonts w:eastAsia="Times New Roman"/>
                <w:color w:val="000000"/>
                <w:sz w:val="18"/>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674FE5C" w14:textId="77777777" w:rsidR="00164F62" w:rsidRPr="00B13EF0" w:rsidRDefault="00164F62" w:rsidP="00A64D88">
            <w:pPr>
              <w:jc w:val="center"/>
              <w:rPr>
                <w:rFonts w:eastAsia="Times New Roman"/>
                <w:color w:val="000000"/>
                <w:sz w:val="18"/>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714EE12A" w14:textId="77777777" w:rsidR="00164F62" w:rsidRPr="00B13EF0" w:rsidRDefault="00164F62" w:rsidP="00A64D88">
            <w:pPr>
              <w:jc w:val="center"/>
              <w:rPr>
                <w:rFonts w:eastAsia="Times New Roman"/>
                <w:color w:val="000000"/>
                <w:sz w:val="18"/>
              </w:rPr>
            </w:pPr>
            <w:r w:rsidRPr="00B13EF0">
              <w:rPr>
                <w:rFonts w:eastAsia="Times New Roman"/>
                <w:color w:val="000000"/>
                <w:sz w:val="18"/>
              </w:rPr>
              <w:t>I</w:t>
            </w:r>
          </w:p>
        </w:tc>
      </w:tr>
      <w:tr w:rsidR="00164F62" w:rsidRPr="00C20279" w14:paraId="2FC0D90C" w14:textId="77777777" w:rsidTr="00DD035C">
        <w:trPr>
          <w:trHeight w:val="739"/>
        </w:trPr>
        <w:tc>
          <w:tcPr>
            <w:tcW w:w="1980" w:type="dxa"/>
            <w:tcBorders>
              <w:top w:val="nil"/>
              <w:left w:val="single" w:sz="4" w:space="0" w:color="auto"/>
              <w:bottom w:val="single" w:sz="4" w:space="0" w:color="000000"/>
              <w:right w:val="single" w:sz="4" w:space="0" w:color="auto"/>
            </w:tcBorders>
            <w:shd w:val="clear" w:color="000000" w:fill="FFFFFF"/>
            <w:vAlign w:val="center"/>
          </w:tcPr>
          <w:p w14:paraId="61487D70" w14:textId="77777777" w:rsidR="00164F62" w:rsidRPr="00C20279" w:rsidRDefault="00164F62" w:rsidP="00A64D88">
            <w:r w:rsidRPr="00D61B20">
              <w:rPr>
                <w:rFonts w:eastAsia="Times New Roman"/>
                <w:color w:val="000000"/>
              </w:rPr>
              <w:t>% of recycled material used as raw material input</w:t>
            </w:r>
          </w:p>
        </w:tc>
        <w:tc>
          <w:tcPr>
            <w:tcW w:w="1984" w:type="dxa"/>
            <w:tcBorders>
              <w:top w:val="nil"/>
              <w:left w:val="nil"/>
              <w:bottom w:val="single" w:sz="4" w:space="0" w:color="auto"/>
              <w:right w:val="single" w:sz="4" w:space="0" w:color="auto"/>
            </w:tcBorders>
            <w:shd w:val="clear" w:color="000000" w:fill="FFFFFF"/>
            <w:vAlign w:val="center"/>
          </w:tcPr>
          <w:p w14:paraId="35010BD4" w14:textId="77777777" w:rsidR="00164F62" w:rsidRPr="007D1195" w:rsidRDefault="00164F62" w:rsidP="00A64D88">
            <w:pPr>
              <w:rPr>
                <w:rFonts w:eastAsia="Times New Roman"/>
                <w:color w:val="000000"/>
                <w:sz w:val="18"/>
              </w:rPr>
            </w:pPr>
            <w:r>
              <w:rPr>
                <w:rFonts w:eastAsia="Times New Roman"/>
                <w:color w:val="000000"/>
                <w:sz w:val="18"/>
              </w:rPr>
              <w:t xml:space="preserve">Commitment to green supply chain </w:t>
            </w:r>
          </w:p>
        </w:tc>
        <w:tc>
          <w:tcPr>
            <w:tcW w:w="2410" w:type="dxa"/>
            <w:tcBorders>
              <w:top w:val="nil"/>
              <w:left w:val="nil"/>
              <w:bottom w:val="single" w:sz="4" w:space="0" w:color="auto"/>
              <w:right w:val="single" w:sz="4" w:space="0" w:color="auto"/>
            </w:tcBorders>
            <w:shd w:val="clear" w:color="000000" w:fill="FFFFFF"/>
            <w:vAlign w:val="center"/>
          </w:tcPr>
          <w:p w14:paraId="042F8B34" w14:textId="77777777" w:rsidR="00164F62" w:rsidRPr="00C20279" w:rsidRDefault="00164F62" w:rsidP="00A64D88">
            <w:pPr>
              <w:jc w:val="center"/>
              <w:rPr>
                <w:rFonts w:eastAsia="Times New Roman"/>
                <w:color w:val="000000"/>
                <w:sz w:val="18"/>
                <w:szCs w:val="18"/>
              </w:rPr>
            </w:pPr>
            <w:r>
              <w:rPr>
                <w:rFonts w:eastAsia="Times New Roman"/>
                <w:color w:val="000000"/>
                <w:sz w:val="18"/>
                <w:szCs w:val="18"/>
              </w:rPr>
              <w:t>(Nº of recycled units of raw material/ total units of raw material used) x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2EFBEC6F" w14:textId="77777777" w:rsidR="00164F62" w:rsidRPr="00C20279" w:rsidRDefault="00164F62" w:rsidP="00A64D88">
            <w:pPr>
              <w:ind w:leftChars="-22" w:left="-44"/>
              <w:jc w:val="center"/>
              <w:rPr>
                <w:rFonts w:eastAsia="Times New Roman"/>
                <w:color w:val="000000"/>
                <w:sz w:val="18"/>
              </w:rPr>
            </w:pPr>
          </w:p>
        </w:tc>
        <w:tc>
          <w:tcPr>
            <w:tcW w:w="567" w:type="dxa"/>
            <w:tcBorders>
              <w:top w:val="nil"/>
              <w:left w:val="single" w:sz="4" w:space="0" w:color="auto"/>
              <w:bottom w:val="single" w:sz="4" w:space="0" w:color="auto"/>
              <w:right w:val="single" w:sz="4" w:space="0" w:color="auto"/>
            </w:tcBorders>
            <w:shd w:val="clear" w:color="000000" w:fill="FFFFFF"/>
            <w:vAlign w:val="center"/>
          </w:tcPr>
          <w:p w14:paraId="11AA2E0D" w14:textId="77777777" w:rsidR="00164F62" w:rsidRPr="00C20279" w:rsidRDefault="00164F62" w:rsidP="00A64D88">
            <w:pPr>
              <w:ind w:leftChars="-22" w:left="-44"/>
              <w:jc w:val="center"/>
              <w:rPr>
                <w:rFonts w:eastAsia="Times New Roman"/>
                <w:color w:val="000000"/>
                <w:sz w:val="18"/>
              </w:rPr>
            </w:pPr>
          </w:p>
        </w:tc>
        <w:tc>
          <w:tcPr>
            <w:tcW w:w="709" w:type="dxa"/>
            <w:tcBorders>
              <w:top w:val="nil"/>
              <w:left w:val="nil"/>
              <w:bottom w:val="single" w:sz="4" w:space="0" w:color="auto"/>
              <w:right w:val="single" w:sz="4" w:space="0" w:color="auto"/>
            </w:tcBorders>
            <w:shd w:val="clear" w:color="000000" w:fill="FFFFFF"/>
            <w:vAlign w:val="center"/>
          </w:tcPr>
          <w:p w14:paraId="48B56663" w14:textId="77777777" w:rsidR="00164F62" w:rsidRPr="00C20279" w:rsidRDefault="00164F62" w:rsidP="00A64D88">
            <w:pPr>
              <w:jc w:val="center"/>
              <w:rPr>
                <w:rFonts w:eastAsia="Times New Roman"/>
                <w:color w:val="000000"/>
                <w:sz w:val="18"/>
              </w:rPr>
            </w:pPr>
            <w:r>
              <w:rPr>
                <w:rFonts w:eastAsia="Times New Roman"/>
                <w:color w:val="000000"/>
                <w:sz w:val="18"/>
              </w:rPr>
              <w:t>X</w:t>
            </w:r>
          </w:p>
        </w:tc>
        <w:tc>
          <w:tcPr>
            <w:tcW w:w="567" w:type="dxa"/>
            <w:tcBorders>
              <w:top w:val="nil"/>
              <w:left w:val="nil"/>
              <w:bottom w:val="single" w:sz="4" w:space="0" w:color="auto"/>
              <w:right w:val="single" w:sz="4" w:space="0" w:color="auto"/>
            </w:tcBorders>
            <w:shd w:val="clear" w:color="000000" w:fill="FFFFFF"/>
            <w:vAlign w:val="center"/>
          </w:tcPr>
          <w:p w14:paraId="7225D09C" w14:textId="77777777" w:rsidR="00164F62" w:rsidRPr="00C20279" w:rsidRDefault="00164F62" w:rsidP="00A64D88">
            <w:pPr>
              <w:jc w:val="center"/>
              <w:rPr>
                <w:rFonts w:eastAsia="Times New Roman"/>
                <w:color w:val="000000"/>
                <w:sz w:val="18"/>
              </w:rPr>
            </w:pPr>
            <w:r>
              <w:rPr>
                <w:rFonts w:eastAsia="Times New Roman"/>
                <w:color w:val="000000"/>
                <w:sz w:val="18"/>
              </w:rPr>
              <w:t>I</w:t>
            </w:r>
          </w:p>
        </w:tc>
      </w:tr>
      <w:tr w:rsidR="00164F62" w:rsidRPr="00C20279" w14:paraId="27297A84" w14:textId="77777777" w:rsidTr="00DD035C">
        <w:trPr>
          <w:trHeight w:val="600"/>
        </w:trPr>
        <w:tc>
          <w:tcPr>
            <w:tcW w:w="1980" w:type="dxa"/>
            <w:tcBorders>
              <w:top w:val="nil"/>
              <w:left w:val="single" w:sz="4" w:space="0" w:color="auto"/>
              <w:bottom w:val="single" w:sz="4" w:space="0" w:color="000000"/>
              <w:right w:val="single" w:sz="4" w:space="0" w:color="auto"/>
            </w:tcBorders>
            <w:shd w:val="clear" w:color="auto" w:fill="auto"/>
            <w:vAlign w:val="center"/>
          </w:tcPr>
          <w:p w14:paraId="14537C40" w14:textId="77777777" w:rsidR="00164F62" w:rsidRPr="00B13EF0" w:rsidRDefault="00164F62" w:rsidP="00A64D88">
            <w:pPr>
              <w:rPr>
                <w:rFonts w:eastAsia="Times New Roman"/>
                <w:color w:val="000000"/>
              </w:rPr>
            </w:pPr>
            <w:proofErr w:type="gramStart"/>
            <w:r w:rsidRPr="00B13EF0">
              <w:rPr>
                <w:rFonts w:eastAsia="Times New Roman"/>
                <w:color w:val="000000"/>
              </w:rPr>
              <w:t>Non conformity</w:t>
            </w:r>
            <w:proofErr w:type="gramEnd"/>
            <w:r w:rsidRPr="00B13EF0">
              <w:rPr>
                <w:rFonts w:eastAsia="Times New Roman"/>
                <w:color w:val="000000"/>
              </w:rPr>
              <w:t xml:space="preserve"> rate</w:t>
            </w:r>
          </w:p>
        </w:tc>
        <w:tc>
          <w:tcPr>
            <w:tcW w:w="1984" w:type="dxa"/>
            <w:tcBorders>
              <w:top w:val="nil"/>
              <w:left w:val="nil"/>
              <w:bottom w:val="single" w:sz="4" w:space="0" w:color="auto"/>
              <w:right w:val="single" w:sz="4" w:space="0" w:color="auto"/>
            </w:tcBorders>
            <w:shd w:val="clear" w:color="auto" w:fill="auto"/>
            <w:vAlign w:val="center"/>
          </w:tcPr>
          <w:p w14:paraId="61D26363" w14:textId="77777777" w:rsidR="00164F62" w:rsidRPr="00B13EF0" w:rsidRDefault="00164F62" w:rsidP="00A64D88">
            <w:pPr>
              <w:rPr>
                <w:rFonts w:eastAsia="Times New Roman"/>
                <w:color w:val="000000"/>
                <w:sz w:val="18"/>
              </w:rPr>
            </w:pPr>
            <w:r w:rsidRPr="00B13EF0">
              <w:rPr>
                <w:rFonts w:eastAsia="Times New Roman"/>
                <w:color w:val="000000"/>
                <w:sz w:val="18"/>
              </w:rPr>
              <w:t>Operational reliability</w:t>
            </w:r>
          </w:p>
        </w:tc>
        <w:tc>
          <w:tcPr>
            <w:tcW w:w="2410" w:type="dxa"/>
            <w:tcBorders>
              <w:top w:val="nil"/>
              <w:left w:val="nil"/>
              <w:bottom w:val="single" w:sz="4" w:space="0" w:color="auto"/>
              <w:right w:val="single" w:sz="4" w:space="0" w:color="auto"/>
            </w:tcBorders>
            <w:shd w:val="clear" w:color="auto" w:fill="auto"/>
            <w:vAlign w:val="center"/>
          </w:tcPr>
          <w:p w14:paraId="5F3BB962" w14:textId="77777777" w:rsidR="00164F62" w:rsidRPr="00B13EF0" w:rsidRDefault="00164F62" w:rsidP="00A64D88">
            <w:pPr>
              <w:jc w:val="center"/>
              <w:rPr>
                <w:rFonts w:eastAsia="Times New Roman"/>
                <w:color w:val="000000"/>
                <w:sz w:val="18"/>
                <w:szCs w:val="18"/>
              </w:rPr>
            </w:pPr>
            <w:r w:rsidRPr="00B13EF0">
              <w:rPr>
                <w:rFonts w:eastAsia="Times New Roman"/>
                <w:color w:val="000000"/>
                <w:sz w:val="18"/>
                <w:szCs w:val="18"/>
              </w:rPr>
              <w:t>(Nº of defect units/ total units produced) x 100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143DE70" w14:textId="77777777" w:rsidR="00164F62" w:rsidRPr="00B13EF0" w:rsidRDefault="00164F62" w:rsidP="00A64D88">
            <w:pPr>
              <w:ind w:leftChars="-22" w:left="-44"/>
              <w:jc w:val="center"/>
              <w:rPr>
                <w:rFonts w:eastAsia="Times New Roman"/>
                <w:color w:val="000000"/>
                <w:sz w:val="18"/>
              </w:rPr>
            </w:pPr>
            <w:r w:rsidRPr="00B13EF0">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auto" w:fill="auto"/>
            <w:vAlign w:val="center"/>
          </w:tcPr>
          <w:p w14:paraId="73B92F7F" w14:textId="77777777" w:rsidR="00164F62" w:rsidRPr="00B13EF0" w:rsidRDefault="00164F62" w:rsidP="00A64D88">
            <w:pPr>
              <w:ind w:leftChars="-22" w:left="-44"/>
              <w:jc w:val="center"/>
              <w:rPr>
                <w:rFonts w:eastAsia="Times New Roman"/>
                <w:color w:val="000000"/>
                <w:sz w:val="18"/>
              </w:rPr>
            </w:pPr>
          </w:p>
        </w:tc>
        <w:tc>
          <w:tcPr>
            <w:tcW w:w="709" w:type="dxa"/>
            <w:tcBorders>
              <w:top w:val="nil"/>
              <w:left w:val="nil"/>
              <w:bottom w:val="single" w:sz="4" w:space="0" w:color="auto"/>
              <w:right w:val="single" w:sz="4" w:space="0" w:color="auto"/>
            </w:tcBorders>
            <w:shd w:val="clear" w:color="auto" w:fill="auto"/>
            <w:vAlign w:val="center"/>
          </w:tcPr>
          <w:p w14:paraId="22601FE9" w14:textId="77777777" w:rsidR="00164F62" w:rsidRPr="00B13EF0" w:rsidRDefault="00164F62" w:rsidP="00A64D88">
            <w:pPr>
              <w:jc w:val="center"/>
              <w:rPr>
                <w:rFonts w:eastAsia="Times New Roman"/>
                <w:color w:val="000000"/>
                <w:sz w:val="18"/>
              </w:rPr>
            </w:pPr>
          </w:p>
        </w:tc>
        <w:tc>
          <w:tcPr>
            <w:tcW w:w="567" w:type="dxa"/>
            <w:tcBorders>
              <w:top w:val="nil"/>
              <w:left w:val="nil"/>
              <w:bottom w:val="single" w:sz="4" w:space="0" w:color="auto"/>
              <w:right w:val="single" w:sz="4" w:space="0" w:color="auto"/>
            </w:tcBorders>
            <w:shd w:val="clear" w:color="auto" w:fill="auto"/>
            <w:vAlign w:val="center"/>
          </w:tcPr>
          <w:p w14:paraId="5CB50263" w14:textId="77777777" w:rsidR="00164F62" w:rsidRPr="00B13EF0" w:rsidRDefault="00164F62" w:rsidP="00A64D88">
            <w:pPr>
              <w:jc w:val="center"/>
              <w:rPr>
                <w:rFonts w:eastAsia="Times New Roman"/>
                <w:color w:val="000000"/>
                <w:sz w:val="18"/>
              </w:rPr>
            </w:pPr>
            <w:r w:rsidRPr="00B13EF0">
              <w:rPr>
                <w:rFonts w:eastAsia="Times New Roman"/>
                <w:color w:val="000000"/>
                <w:sz w:val="18"/>
              </w:rPr>
              <w:t>R/I</w:t>
            </w:r>
          </w:p>
        </w:tc>
      </w:tr>
    </w:tbl>
    <w:p w14:paraId="7D4DD8AA" w14:textId="77777777" w:rsidR="00164F62" w:rsidRPr="0024691E" w:rsidRDefault="00164F62" w:rsidP="00164F62">
      <w:pPr>
        <w:rPr>
          <w:rFonts w:eastAsia="Times New Roman"/>
          <w:b/>
          <w:color w:val="000000"/>
          <w:sz w:val="6"/>
          <w:szCs w:val="6"/>
        </w:rPr>
      </w:pPr>
    </w:p>
    <w:p w14:paraId="2E7DF33C" w14:textId="77777777" w:rsidR="00164F62" w:rsidRPr="0024691E" w:rsidRDefault="00164F62" w:rsidP="00164F62">
      <w:pPr>
        <w:rPr>
          <w:rFonts w:eastAsia="Times New Roman"/>
          <w:b/>
          <w:color w:val="000000"/>
        </w:rPr>
      </w:pPr>
      <w:r>
        <w:rPr>
          <w:rFonts w:eastAsia="Times New Roman"/>
          <w:b/>
          <w:color w:val="000000"/>
        </w:rPr>
        <w:t>Technological Alignment (2</w:t>
      </w:r>
      <w:r w:rsidRPr="00BD2D13">
        <w:rPr>
          <w:rFonts w:eastAsia="Times New Roman"/>
          <w:b/>
          <w:color w:val="000000"/>
        </w:rPr>
        <w:t>)</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285793" w14:paraId="7CB99A10" w14:textId="77777777" w:rsidTr="00DD035C">
        <w:trPr>
          <w:trHeight w:val="1053"/>
        </w:trPr>
        <w:tc>
          <w:tcPr>
            <w:tcW w:w="1980" w:type="dxa"/>
            <w:tcBorders>
              <w:top w:val="single" w:sz="4" w:space="0" w:color="auto"/>
              <w:left w:val="single" w:sz="4" w:space="0" w:color="auto"/>
              <w:bottom w:val="single" w:sz="4" w:space="0" w:color="000000"/>
              <w:right w:val="single" w:sz="4" w:space="0" w:color="auto"/>
            </w:tcBorders>
            <w:shd w:val="clear" w:color="000000" w:fill="FFFFFF"/>
            <w:vAlign w:val="center"/>
            <w:hideMark/>
          </w:tcPr>
          <w:p w14:paraId="30E919D7" w14:textId="77777777" w:rsidR="00164F62" w:rsidRPr="00285793" w:rsidRDefault="00164F62" w:rsidP="00A64D88">
            <w:pPr>
              <w:rPr>
                <w:rFonts w:eastAsia="Times New Roman"/>
                <w:color w:val="000000"/>
              </w:rPr>
            </w:pPr>
            <w:r w:rsidRPr="00285793">
              <w:rPr>
                <w:rFonts w:eastAsia="Times New Roman"/>
                <w:color w:val="000000"/>
              </w:rPr>
              <w:t>I</w:t>
            </w:r>
            <w:r>
              <w:rPr>
                <w:rFonts w:eastAsia="Times New Roman"/>
                <w:color w:val="000000"/>
              </w:rPr>
              <w:t>C</w:t>
            </w:r>
            <w:r w:rsidRPr="00285793">
              <w:rPr>
                <w:rFonts w:eastAsia="Times New Roman"/>
                <w:color w:val="000000"/>
              </w:rPr>
              <w:t>T investment rate</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79912D29" w14:textId="77777777" w:rsidR="00164F62" w:rsidRPr="00285793" w:rsidRDefault="00164F62" w:rsidP="00A64D88">
            <w:pPr>
              <w:rPr>
                <w:rFonts w:eastAsia="Times New Roman"/>
                <w:color w:val="000000"/>
                <w:sz w:val="18"/>
              </w:rPr>
            </w:pPr>
            <w:r w:rsidRPr="00285793">
              <w:rPr>
                <w:rFonts w:eastAsia="Times New Roman"/>
                <w:color w:val="000000"/>
                <w:sz w:val="18"/>
              </w:rPr>
              <w:t xml:space="preserve">Commitment to </w:t>
            </w:r>
            <w:r>
              <w:rPr>
                <w:rFonts w:eastAsia="Times New Roman"/>
                <w:color w:val="000000"/>
                <w:sz w:val="18"/>
              </w:rPr>
              <w:t>ICT up-grading and overall performance increase</w:t>
            </w:r>
          </w:p>
        </w:tc>
        <w:tc>
          <w:tcPr>
            <w:tcW w:w="2410" w:type="dxa"/>
            <w:tcBorders>
              <w:top w:val="single" w:sz="4" w:space="0" w:color="auto"/>
              <w:left w:val="nil"/>
              <w:bottom w:val="single" w:sz="4" w:space="0" w:color="auto"/>
              <w:right w:val="single" w:sz="4" w:space="0" w:color="auto"/>
            </w:tcBorders>
            <w:shd w:val="clear" w:color="auto" w:fill="auto"/>
            <w:vAlign w:val="center"/>
          </w:tcPr>
          <w:p w14:paraId="517E78DA" w14:textId="77777777" w:rsidR="00164F62" w:rsidRPr="00285793" w:rsidRDefault="00164F62" w:rsidP="00A64D88">
            <w:pPr>
              <w:jc w:val="center"/>
              <w:rPr>
                <w:rFonts w:eastAsia="Times New Roman"/>
                <w:color w:val="000000"/>
                <w:sz w:val="18"/>
                <w:szCs w:val="18"/>
              </w:rPr>
            </w:pPr>
            <w:r w:rsidRPr="00285793">
              <w:rPr>
                <w:rFonts w:eastAsia="Times New Roman"/>
                <w:color w:val="000000"/>
                <w:sz w:val="18"/>
                <w:szCs w:val="18"/>
              </w:rPr>
              <w:t>(I</w:t>
            </w:r>
            <w:r>
              <w:rPr>
                <w:rFonts w:eastAsia="Times New Roman"/>
                <w:color w:val="000000"/>
                <w:sz w:val="18"/>
                <w:szCs w:val="18"/>
              </w:rPr>
              <w:t>CT investment amount</w:t>
            </w:r>
            <w:r w:rsidRPr="00285793">
              <w:rPr>
                <w:rFonts w:eastAsia="Times New Roman"/>
                <w:color w:val="000000"/>
                <w:sz w:val="18"/>
                <w:szCs w:val="18"/>
              </w:rPr>
              <w:t xml:space="preserve">/ </w:t>
            </w:r>
            <w:r>
              <w:rPr>
                <w:rFonts w:eastAsia="Times New Roman"/>
                <w:color w:val="000000"/>
                <w:sz w:val="18"/>
                <w:szCs w:val="18"/>
              </w:rPr>
              <w:t>(</w:t>
            </w:r>
            <w:r w:rsidRPr="00285793">
              <w:rPr>
                <w:rFonts w:eastAsia="Times New Roman"/>
                <w:color w:val="000000"/>
                <w:sz w:val="18"/>
                <w:szCs w:val="18"/>
              </w:rPr>
              <w:t>total investment</w:t>
            </w:r>
            <w:r>
              <w:rPr>
                <w:rFonts w:eastAsia="Times New Roman"/>
                <w:color w:val="000000"/>
                <w:sz w:val="18"/>
                <w:szCs w:val="18"/>
              </w:rPr>
              <w:t xml:space="preserve"> amount – direct innovation investment)</w:t>
            </w:r>
            <w:r w:rsidRPr="00285793">
              <w:rPr>
                <w:rFonts w:eastAsia="Times New Roman"/>
                <w:color w:val="000000"/>
                <w:sz w:val="18"/>
                <w:szCs w:val="18"/>
              </w:rPr>
              <w:t>) x 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7BEF1FE1" w14:textId="77777777" w:rsidR="00164F62" w:rsidRPr="00285793" w:rsidRDefault="00164F62" w:rsidP="00A64D88">
            <w:pPr>
              <w:ind w:leftChars="-22" w:left="-44"/>
              <w:jc w:val="center"/>
              <w:rPr>
                <w:rFonts w:eastAsia="Times New Roman"/>
                <w:color w:val="000000"/>
                <w:sz w:val="18"/>
              </w:rPr>
            </w:pPr>
            <w:r>
              <w:rPr>
                <w:rFonts w:eastAsia="Times New Roman"/>
                <w:color w:val="000000"/>
                <w:sz w:val="1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FA6EF07" w14:textId="77777777" w:rsidR="00164F62" w:rsidRPr="00285793" w:rsidRDefault="00164F62" w:rsidP="00A64D88">
            <w:pPr>
              <w:ind w:leftChars="-22" w:left="-44"/>
              <w:jc w:val="center"/>
              <w:rPr>
                <w:rFonts w:eastAsia="Times New Roman"/>
                <w:color w:val="000000"/>
                <w:sz w:val="18"/>
              </w:rPr>
            </w:pPr>
          </w:p>
        </w:tc>
        <w:tc>
          <w:tcPr>
            <w:tcW w:w="709" w:type="dxa"/>
            <w:tcBorders>
              <w:top w:val="single" w:sz="4" w:space="0" w:color="auto"/>
              <w:left w:val="nil"/>
              <w:bottom w:val="single" w:sz="4" w:space="0" w:color="auto"/>
              <w:right w:val="single" w:sz="4" w:space="0" w:color="auto"/>
            </w:tcBorders>
            <w:shd w:val="clear" w:color="000000" w:fill="FFFFFF"/>
            <w:vAlign w:val="center"/>
          </w:tcPr>
          <w:p w14:paraId="622CB5C9" w14:textId="77777777" w:rsidR="00164F62" w:rsidRPr="00285793" w:rsidRDefault="00164F62" w:rsidP="00A64D88">
            <w:pPr>
              <w:ind w:leftChars="-22" w:left="-44"/>
              <w:jc w:val="center"/>
              <w:rPr>
                <w:rFonts w:eastAsia="Times New Roman"/>
                <w:color w:val="000000"/>
                <w:sz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6846BC7B" w14:textId="77777777" w:rsidR="00164F62" w:rsidRPr="00285793" w:rsidRDefault="00164F62" w:rsidP="00A64D88">
            <w:pPr>
              <w:ind w:leftChars="-22" w:left="-44"/>
              <w:jc w:val="center"/>
              <w:rPr>
                <w:rFonts w:eastAsia="Times New Roman"/>
                <w:color w:val="000000"/>
                <w:sz w:val="18"/>
              </w:rPr>
            </w:pPr>
            <w:r>
              <w:rPr>
                <w:rFonts w:eastAsia="Times New Roman"/>
                <w:color w:val="000000"/>
                <w:sz w:val="18"/>
              </w:rPr>
              <w:t>I</w:t>
            </w:r>
          </w:p>
        </w:tc>
      </w:tr>
      <w:tr w:rsidR="00164F62" w:rsidRPr="00285793" w14:paraId="12323668" w14:textId="77777777" w:rsidTr="00DD035C">
        <w:trPr>
          <w:trHeight w:val="907"/>
        </w:trPr>
        <w:tc>
          <w:tcPr>
            <w:tcW w:w="1980" w:type="dxa"/>
            <w:tcBorders>
              <w:top w:val="nil"/>
              <w:left w:val="single" w:sz="4" w:space="0" w:color="auto"/>
              <w:bottom w:val="single" w:sz="4" w:space="0" w:color="000000"/>
              <w:right w:val="single" w:sz="4" w:space="0" w:color="auto"/>
            </w:tcBorders>
            <w:shd w:val="clear" w:color="000000" w:fill="FFFFFF"/>
            <w:vAlign w:val="center"/>
            <w:hideMark/>
          </w:tcPr>
          <w:p w14:paraId="775860C7" w14:textId="77777777" w:rsidR="00164F62" w:rsidRPr="00285793" w:rsidRDefault="00164F62" w:rsidP="00A64D88">
            <w:pPr>
              <w:rPr>
                <w:rFonts w:eastAsia="Times New Roman"/>
                <w:color w:val="000000"/>
              </w:rPr>
            </w:pPr>
            <w:r w:rsidRPr="00285793">
              <w:rPr>
                <w:rFonts w:eastAsia="Times New Roman"/>
                <w:color w:val="000000"/>
              </w:rPr>
              <w:t>Number of systems integrated with other company systems</w:t>
            </w:r>
          </w:p>
        </w:tc>
        <w:tc>
          <w:tcPr>
            <w:tcW w:w="1984" w:type="dxa"/>
            <w:tcBorders>
              <w:top w:val="nil"/>
              <w:left w:val="nil"/>
              <w:bottom w:val="single" w:sz="4" w:space="0" w:color="auto"/>
              <w:right w:val="single" w:sz="4" w:space="0" w:color="auto"/>
            </w:tcBorders>
            <w:shd w:val="clear" w:color="000000" w:fill="FFFFFF"/>
            <w:vAlign w:val="center"/>
            <w:hideMark/>
          </w:tcPr>
          <w:p w14:paraId="1485B3FF" w14:textId="77777777" w:rsidR="00164F62" w:rsidRPr="000427D2" w:rsidRDefault="00164F62" w:rsidP="00A64D88">
            <w:pPr>
              <w:rPr>
                <w:rFonts w:eastAsia="Times New Roman"/>
                <w:color w:val="000000"/>
                <w:sz w:val="18"/>
              </w:rPr>
            </w:pPr>
            <w:r w:rsidRPr="000427D2">
              <w:rPr>
                <w:rFonts w:eastAsia="Times New Roman"/>
                <w:color w:val="000000"/>
                <w:sz w:val="18"/>
              </w:rPr>
              <w:t>Ability to integrate ICT systems in its value chain</w:t>
            </w:r>
          </w:p>
        </w:tc>
        <w:tc>
          <w:tcPr>
            <w:tcW w:w="2410" w:type="dxa"/>
            <w:tcBorders>
              <w:top w:val="nil"/>
              <w:left w:val="nil"/>
              <w:bottom w:val="single" w:sz="4" w:space="0" w:color="auto"/>
              <w:right w:val="single" w:sz="4" w:space="0" w:color="auto"/>
            </w:tcBorders>
            <w:shd w:val="clear" w:color="000000" w:fill="FFFFFF"/>
            <w:vAlign w:val="center"/>
          </w:tcPr>
          <w:p w14:paraId="6857014B" w14:textId="262888CF" w:rsidR="00164F62" w:rsidRPr="00285793" w:rsidRDefault="00164F62" w:rsidP="00A64D88">
            <w:pPr>
              <w:jc w:val="center"/>
              <w:rPr>
                <w:rFonts w:eastAsia="Times New Roman"/>
                <w:color w:val="000000"/>
                <w:sz w:val="18"/>
                <w:szCs w:val="18"/>
              </w:rPr>
            </w:pPr>
            <w:r>
              <w:rPr>
                <w:rFonts w:eastAsia="Times New Roman"/>
                <w:color w:val="000000"/>
                <w:sz w:val="18"/>
                <w:szCs w:val="18"/>
              </w:rPr>
              <w:t xml:space="preserve">(% ICT </w:t>
            </w:r>
            <w:proofErr w:type="gramStart"/>
            <w:r>
              <w:rPr>
                <w:rFonts w:eastAsia="Times New Roman"/>
                <w:color w:val="000000"/>
                <w:sz w:val="18"/>
                <w:szCs w:val="18"/>
              </w:rPr>
              <w:t>suppliers</w:t>
            </w:r>
            <w:proofErr w:type="gramEnd"/>
            <w:r>
              <w:rPr>
                <w:rFonts w:eastAsia="Times New Roman"/>
                <w:color w:val="000000"/>
                <w:sz w:val="18"/>
                <w:szCs w:val="18"/>
              </w:rPr>
              <w:t xml:space="preserve"> integration + </w:t>
            </w:r>
            <w:r w:rsidR="00B85434">
              <w:rPr>
                <w:rFonts w:eastAsia="Times New Roman"/>
                <w:color w:val="000000"/>
                <w:sz w:val="18"/>
                <w:szCs w:val="18"/>
              </w:rPr>
              <w:t>% ICT customers integration)/ 2</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6CD99B45" w14:textId="77777777" w:rsidR="00164F62" w:rsidRPr="00285793" w:rsidRDefault="00164F62" w:rsidP="00A64D88">
            <w:pPr>
              <w:ind w:leftChars="-22" w:left="-44"/>
              <w:jc w:val="center"/>
              <w:rPr>
                <w:rFonts w:eastAsia="Times New Roman"/>
                <w:color w:val="000000"/>
                <w:sz w:val="18"/>
              </w:rPr>
            </w:pPr>
            <w:r>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73269E06" w14:textId="77777777" w:rsidR="00164F62" w:rsidRPr="00285793" w:rsidRDefault="00164F62" w:rsidP="00A64D88">
            <w:pPr>
              <w:ind w:leftChars="-22" w:left="-44"/>
              <w:jc w:val="center"/>
              <w:rPr>
                <w:rFonts w:eastAsia="Times New Roman"/>
                <w:color w:val="000000"/>
                <w:sz w:val="18"/>
              </w:rPr>
            </w:pPr>
            <w:r>
              <w:rPr>
                <w:rFonts w:eastAsia="Times New Roman"/>
                <w:color w:val="000000"/>
                <w:sz w:val="18"/>
              </w:rPr>
              <w:t>X</w:t>
            </w:r>
          </w:p>
        </w:tc>
        <w:tc>
          <w:tcPr>
            <w:tcW w:w="709" w:type="dxa"/>
            <w:tcBorders>
              <w:top w:val="nil"/>
              <w:left w:val="nil"/>
              <w:bottom w:val="single" w:sz="4" w:space="0" w:color="auto"/>
              <w:right w:val="single" w:sz="4" w:space="0" w:color="auto"/>
            </w:tcBorders>
            <w:shd w:val="clear" w:color="000000" w:fill="FFFFFF"/>
            <w:vAlign w:val="center"/>
          </w:tcPr>
          <w:p w14:paraId="2B89450A" w14:textId="77777777" w:rsidR="00164F62" w:rsidRPr="00285793" w:rsidRDefault="00164F62" w:rsidP="00A64D88">
            <w:pPr>
              <w:ind w:leftChars="-22" w:left="-44"/>
              <w:jc w:val="center"/>
              <w:rPr>
                <w:rFonts w:eastAsia="Times New Roman"/>
                <w:color w:val="000000"/>
                <w:sz w:val="18"/>
              </w:rPr>
            </w:pPr>
            <w:r>
              <w:rPr>
                <w:rFonts w:eastAsia="Times New Roman"/>
                <w:color w:val="000000"/>
                <w:sz w:val="18"/>
              </w:rPr>
              <w:t>X</w:t>
            </w:r>
          </w:p>
        </w:tc>
        <w:tc>
          <w:tcPr>
            <w:tcW w:w="567" w:type="dxa"/>
            <w:tcBorders>
              <w:top w:val="nil"/>
              <w:left w:val="nil"/>
              <w:bottom w:val="single" w:sz="4" w:space="0" w:color="auto"/>
              <w:right w:val="single" w:sz="4" w:space="0" w:color="auto"/>
            </w:tcBorders>
            <w:shd w:val="clear" w:color="000000" w:fill="FFFFFF"/>
            <w:vAlign w:val="center"/>
          </w:tcPr>
          <w:p w14:paraId="4C2A6A06" w14:textId="77777777" w:rsidR="00164F62" w:rsidRPr="00285793" w:rsidRDefault="00164F62" w:rsidP="00A64D88">
            <w:pPr>
              <w:ind w:leftChars="-22" w:left="-44"/>
              <w:jc w:val="center"/>
              <w:rPr>
                <w:rFonts w:eastAsia="Times New Roman"/>
                <w:color w:val="000000"/>
                <w:sz w:val="18"/>
              </w:rPr>
            </w:pPr>
            <w:r>
              <w:rPr>
                <w:rFonts w:eastAsia="Times New Roman"/>
                <w:color w:val="000000"/>
                <w:sz w:val="18"/>
              </w:rPr>
              <w:t>R/I</w:t>
            </w:r>
          </w:p>
        </w:tc>
      </w:tr>
    </w:tbl>
    <w:p w14:paraId="2B5DFF89" w14:textId="77777777" w:rsidR="00164F62" w:rsidRPr="0024691E" w:rsidRDefault="00164F62" w:rsidP="00164F62">
      <w:pPr>
        <w:rPr>
          <w:rFonts w:eastAsia="Times New Roman"/>
          <w:b/>
          <w:color w:val="000000"/>
          <w:sz w:val="6"/>
          <w:szCs w:val="6"/>
        </w:rPr>
      </w:pPr>
    </w:p>
    <w:p w14:paraId="6CDA3D22" w14:textId="77777777" w:rsidR="00164F62" w:rsidRPr="0024691E" w:rsidRDefault="00164F62" w:rsidP="00164F62">
      <w:pPr>
        <w:rPr>
          <w:rFonts w:eastAsia="Times New Roman"/>
          <w:b/>
          <w:color w:val="000000"/>
        </w:rPr>
      </w:pPr>
      <w:r>
        <w:rPr>
          <w:rFonts w:eastAsia="Times New Roman"/>
          <w:b/>
          <w:color w:val="000000"/>
        </w:rPr>
        <w:t>Facilities Suitability (2)</w:t>
      </w:r>
    </w:p>
    <w:tbl>
      <w:tblPr>
        <w:tblW w:w="8784" w:type="dxa"/>
        <w:tblLayout w:type="fixed"/>
        <w:tblLook w:val="04A0" w:firstRow="1" w:lastRow="0" w:firstColumn="1" w:lastColumn="0" w:noHBand="0" w:noVBand="1"/>
      </w:tblPr>
      <w:tblGrid>
        <w:gridCol w:w="1980"/>
        <w:gridCol w:w="1984"/>
        <w:gridCol w:w="2410"/>
        <w:gridCol w:w="567"/>
        <w:gridCol w:w="567"/>
        <w:gridCol w:w="709"/>
        <w:gridCol w:w="567"/>
      </w:tblGrid>
      <w:tr w:rsidR="00164F62" w:rsidRPr="00842C9B" w14:paraId="7DCCBB47" w14:textId="77777777" w:rsidTr="00DD035C">
        <w:trPr>
          <w:trHeight w:val="1121"/>
        </w:trPr>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0B6832DF" w14:textId="77777777" w:rsidR="00164F62" w:rsidRDefault="00164F62" w:rsidP="00A64D88">
            <w:pPr>
              <w:rPr>
                <w:rFonts w:eastAsia="Times New Roman"/>
                <w:color w:val="000000"/>
              </w:rPr>
            </w:pPr>
            <w:r>
              <w:rPr>
                <w:rFonts w:eastAsia="Times New Roman"/>
                <w:color w:val="000000"/>
              </w:rPr>
              <w:t>Ergonomic and health costs rate</w:t>
            </w:r>
          </w:p>
        </w:tc>
        <w:tc>
          <w:tcPr>
            <w:tcW w:w="1984" w:type="dxa"/>
            <w:tcBorders>
              <w:top w:val="single" w:sz="4" w:space="0" w:color="auto"/>
              <w:left w:val="nil"/>
              <w:bottom w:val="single" w:sz="4" w:space="0" w:color="auto"/>
              <w:right w:val="single" w:sz="4" w:space="0" w:color="auto"/>
            </w:tcBorders>
            <w:shd w:val="clear" w:color="000000" w:fill="FFFFFF"/>
            <w:vAlign w:val="center"/>
          </w:tcPr>
          <w:p w14:paraId="37744FAE" w14:textId="77777777" w:rsidR="00164F62" w:rsidRPr="00026886" w:rsidRDefault="00164F62" w:rsidP="00A64D88">
            <w:pPr>
              <w:rPr>
                <w:rFonts w:eastAsia="Times New Roman"/>
                <w:color w:val="000000"/>
                <w:sz w:val="18"/>
              </w:rPr>
            </w:pPr>
            <w:r>
              <w:rPr>
                <w:rFonts w:eastAsia="Times New Roman"/>
                <w:color w:val="000000"/>
                <w:sz w:val="18"/>
              </w:rPr>
              <w:t xml:space="preserve">Commitment to employee health and capability to avoid </w:t>
            </w:r>
            <w:r w:rsidRPr="004A4F81">
              <w:rPr>
                <w:rFonts w:eastAsia="Times New Roman"/>
                <w:color w:val="000000"/>
                <w:sz w:val="18"/>
              </w:rPr>
              <w:t>occupational disease</w:t>
            </w:r>
            <w:r>
              <w:rPr>
                <w:rFonts w:eastAsia="Times New Roman"/>
                <w:color w:val="000000"/>
                <w:sz w:val="18"/>
              </w:rPr>
              <w:t>s</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0421A8AC" w14:textId="77777777" w:rsidR="00164F62" w:rsidRPr="004647BC" w:rsidRDefault="00164F62" w:rsidP="00A64D88">
            <w:pPr>
              <w:jc w:val="center"/>
              <w:rPr>
                <w:rFonts w:eastAsia="Times New Roman"/>
                <w:color w:val="000000"/>
                <w:sz w:val="18"/>
              </w:rPr>
            </w:pPr>
            <w:r>
              <w:rPr>
                <w:rFonts w:eastAsia="Times New Roman"/>
                <w:color w:val="000000"/>
                <w:sz w:val="18"/>
              </w:rPr>
              <w:t>((c</w:t>
            </w:r>
            <w:r w:rsidRPr="004647BC">
              <w:rPr>
                <w:rFonts w:eastAsia="Times New Roman"/>
                <w:color w:val="000000"/>
                <w:sz w:val="18"/>
              </w:rPr>
              <w:t xml:space="preserve">ompensation for injury, </w:t>
            </w:r>
            <w:r>
              <w:rPr>
                <w:rFonts w:eastAsia="Times New Roman"/>
                <w:color w:val="000000"/>
                <w:sz w:val="18"/>
              </w:rPr>
              <w:t xml:space="preserve">mutilation or deformity + </w:t>
            </w:r>
            <w:r w:rsidRPr="004647BC">
              <w:rPr>
                <w:rFonts w:eastAsia="Times New Roman"/>
                <w:color w:val="000000"/>
                <w:sz w:val="18"/>
              </w:rPr>
              <w:t>absenteeism</w:t>
            </w:r>
            <w:r>
              <w:rPr>
                <w:rFonts w:eastAsia="Times New Roman"/>
                <w:color w:val="000000"/>
                <w:sz w:val="18"/>
              </w:rPr>
              <w:t xml:space="preserve"> costs due to diseases)/ total personnel costs) x100</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A507586"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14:paraId="1BB96182"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31DE8B2C" w14:textId="77777777" w:rsidR="00164F62" w:rsidRPr="00A70C98" w:rsidRDefault="00164F62" w:rsidP="00A64D88">
            <w:pPr>
              <w:jc w:val="center"/>
              <w:rPr>
                <w:rFonts w:eastAsia="Times New Roman"/>
                <w:color w:val="000000"/>
                <w:sz w:val="18"/>
              </w:rPr>
            </w:pPr>
          </w:p>
        </w:tc>
        <w:tc>
          <w:tcPr>
            <w:tcW w:w="567" w:type="dxa"/>
            <w:tcBorders>
              <w:top w:val="single" w:sz="4" w:space="0" w:color="auto"/>
              <w:left w:val="nil"/>
              <w:bottom w:val="single" w:sz="4" w:space="0" w:color="auto"/>
              <w:right w:val="single" w:sz="4" w:space="0" w:color="auto"/>
            </w:tcBorders>
            <w:shd w:val="clear" w:color="000000" w:fill="FFFFFF"/>
            <w:vAlign w:val="center"/>
          </w:tcPr>
          <w:p w14:paraId="418DF3BF" w14:textId="77777777" w:rsidR="00164F62" w:rsidRPr="00A70C98" w:rsidRDefault="00164F62" w:rsidP="00A64D88">
            <w:pPr>
              <w:jc w:val="center"/>
              <w:rPr>
                <w:rFonts w:eastAsia="Times New Roman"/>
                <w:color w:val="000000"/>
                <w:sz w:val="18"/>
              </w:rPr>
            </w:pPr>
            <w:r>
              <w:rPr>
                <w:rFonts w:eastAsia="Times New Roman"/>
                <w:color w:val="000000"/>
                <w:sz w:val="18"/>
              </w:rPr>
              <w:t>R/I</w:t>
            </w:r>
          </w:p>
        </w:tc>
      </w:tr>
      <w:tr w:rsidR="00164F62" w:rsidRPr="00842C9B" w14:paraId="60375A3E" w14:textId="77777777" w:rsidTr="00DD035C">
        <w:trPr>
          <w:trHeight w:val="770"/>
        </w:trPr>
        <w:tc>
          <w:tcPr>
            <w:tcW w:w="1980" w:type="dxa"/>
            <w:tcBorders>
              <w:top w:val="nil"/>
              <w:left w:val="single" w:sz="4" w:space="0" w:color="auto"/>
              <w:bottom w:val="single" w:sz="4" w:space="0" w:color="auto"/>
              <w:right w:val="single" w:sz="4" w:space="0" w:color="auto"/>
            </w:tcBorders>
            <w:shd w:val="clear" w:color="000000" w:fill="FFFFFF"/>
            <w:vAlign w:val="center"/>
          </w:tcPr>
          <w:p w14:paraId="32398B47" w14:textId="77777777" w:rsidR="00164F62" w:rsidRDefault="00164F62" w:rsidP="00A64D88">
            <w:pPr>
              <w:rPr>
                <w:rFonts w:eastAsia="Times New Roman"/>
                <w:color w:val="000000"/>
              </w:rPr>
            </w:pPr>
            <w:r>
              <w:rPr>
                <w:rFonts w:eastAsia="Times New Roman"/>
                <w:color w:val="000000"/>
              </w:rPr>
              <w:t>Space productivity</w:t>
            </w:r>
          </w:p>
        </w:tc>
        <w:tc>
          <w:tcPr>
            <w:tcW w:w="1984" w:type="dxa"/>
            <w:tcBorders>
              <w:top w:val="nil"/>
              <w:left w:val="nil"/>
              <w:bottom w:val="single" w:sz="4" w:space="0" w:color="auto"/>
              <w:right w:val="single" w:sz="4" w:space="0" w:color="auto"/>
            </w:tcBorders>
            <w:shd w:val="clear" w:color="000000" w:fill="FFFFFF"/>
            <w:vAlign w:val="center"/>
          </w:tcPr>
          <w:p w14:paraId="64A0FFA1" w14:textId="77777777" w:rsidR="00164F62" w:rsidRPr="00026886" w:rsidRDefault="00164F62" w:rsidP="00A64D88">
            <w:pPr>
              <w:rPr>
                <w:rFonts w:eastAsia="Times New Roman"/>
                <w:color w:val="000000"/>
                <w:sz w:val="18"/>
              </w:rPr>
            </w:pPr>
            <w:r>
              <w:rPr>
                <w:rFonts w:eastAsia="Times New Roman"/>
                <w:color w:val="000000"/>
                <w:sz w:val="18"/>
              </w:rPr>
              <w:t xml:space="preserve">Facilities efficiency </w:t>
            </w:r>
          </w:p>
        </w:tc>
        <w:tc>
          <w:tcPr>
            <w:tcW w:w="2410" w:type="dxa"/>
            <w:tcBorders>
              <w:top w:val="nil"/>
              <w:left w:val="nil"/>
              <w:bottom w:val="single" w:sz="4" w:space="0" w:color="auto"/>
              <w:right w:val="single" w:sz="4" w:space="0" w:color="auto"/>
            </w:tcBorders>
            <w:shd w:val="clear" w:color="000000" w:fill="FFFFFF"/>
            <w:vAlign w:val="center"/>
          </w:tcPr>
          <w:p w14:paraId="0F7B9F5B" w14:textId="77777777" w:rsidR="00164F62" w:rsidRPr="002416A2" w:rsidRDefault="00164F62" w:rsidP="00A64D88">
            <w:pPr>
              <w:jc w:val="center"/>
              <w:rPr>
                <w:rFonts w:eastAsia="Times New Roman"/>
                <w:color w:val="000000"/>
                <w:sz w:val="18"/>
                <w:szCs w:val="18"/>
              </w:rPr>
            </w:pPr>
            <w:r>
              <w:rPr>
                <w:rFonts w:eastAsia="Times New Roman"/>
                <w:color w:val="000000"/>
                <w:sz w:val="18"/>
                <w:szCs w:val="18"/>
              </w:rPr>
              <w:t>Gross revenue/ facility’s square foot</w:t>
            </w:r>
          </w:p>
        </w:tc>
        <w:tc>
          <w:tcPr>
            <w:tcW w:w="567" w:type="dxa"/>
            <w:tcBorders>
              <w:top w:val="single" w:sz="4" w:space="0" w:color="auto"/>
              <w:left w:val="nil"/>
              <w:bottom w:val="single" w:sz="4" w:space="0" w:color="auto"/>
              <w:right w:val="single" w:sz="4" w:space="0" w:color="auto"/>
            </w:tcBorders>
            <w:shd w:val="clear" w:color="000000" w:fill="FFFFFF"/>
            <w:vAlign w:val="center"/>
          </w:tcPr>
          <w:p w14:paraId="149D0DB3"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nil"/>
              <w:left w:val="single" w:sz="4" w:space="0" w:color="auto"/>
              <w:bottom w:val="single" w:sz="4" w:space="0" w:color="auto"/>
              <w:right w:val="single" w:sz="4" w:space="0" w:color="auto"/>
            </w:tcBorders>
            <w:shd w:val="clear" w:color="000000" w:fill="FFFFFF"/>
            <w:vAlign w:val="center"/>
          </w:tcPr>
          <w:p w14:paraId="682342DF" w14:textId="77777777" w:rsidR="00164F62" w:rsidRPr="00A70C98" w:rsidRDefault="00164F62" w:rsidP="00A64D88">
            <w:pPr>
              <w:jc w:val="center"/>
              <w:rPr>
                <w:rFonts w:eastAsia="Times New Roman"/>
                <w:color w:val="000000"/>
                <w:sz w:val="18"/>
              </w:rPr>
            </w:pPr>
          </w:p>
        </w:tc>
        <w:tc>
          <w:tcPr>
            <w:tcW w:w="709" w:type="dxa"/>
            <w:tcBorders>
              <w:top w:val="nil"/>
              <w:left w:val="nil"/>
              <w:bottom w:val="single" w:sz="4" w:space="0" w:color="auto"/>
              <w:right w:val="single" w:sz="4" w:space="0" w:color="auto"/>
            </w:tcBorders>
            <w:shd w:val="clear" w:color="000000" w:fill="FFFFFF"/>
            <w:vAlign w:val="center"/>
          </w:tcPr>
          <w:p w14:paraId="2BC963B8" w14:textId="77777777" w:rsidR="00164F62" w:rsidRPr="00A70C98" w:rsidRDefault="00164F62" w:rsidP="00A64D88">
            <w:pPr>
              <w:jc w:val="center"/>
              <w:rPr>
                <w:rFonts w:eastAsia="Times New Roman"/>
                <w:color w:val="000000"/>
                <w:sz w:val="18"/>
              </w:rPr>
            </w:pPr>
            <w:r>
              <w:rPr>
                <w:rFonts w:eastAsia="Times New Roman"/>
                <w:color w:val="000000"/>
                <w:sz w:val="18"/>
              </w:rPr>
              <w:t>X</w:t>
            </w:r>
          </w:p>
        </w:tc>
        <w:tc>
          <w:tcPr>
            <w:tcW w:w="567" w:type="dxa"/>
            <w:tcBorders>
              <w:top w:val="nil"/>
              <w:left w:val="nil"/>
              <w:bottom w:val="single" w:sz="4" w:space="0" w:color="auto"/>
              <w:right w:val="single" w:sz="4" w:space="0" w:color="auto"/>
            </w:tcBorders>
            <w:shd w:val="clear" w:color="000000" w:fill="FFFFFF"/>
            <w:vAlign w:val="center"/>
          </w:tcPr>
          <w:p w14:paraId="6803433D" w14:textId="77777777" w:rsidR="00164F62" w:rsidRPr="00A70C98" w:rsidRDefault="00164F62" w:rsidP="00A64D88">
            <w:pPr>
              <w:jc w:val="center"/>
              <w:rPr>
                <w:rFonts w:eastAsia="Times New Roman"/>
                <w:color w:val="000000"/>
                <w:sz w:val="18"/>
              </w:rPr>
            </w:pPr>
            <w:r>
              <w:rPr>
                <w:rFonts w:eastAsia="Times New Roman"/>
                <w:color w:val="000000"/>
                <w:sz w:val="18"/>
              </w:rPr>
              <w:t>I</w:t>
            </w:r>
          </w:p>
        </w:tc>
      </w:tr>
    </w:tbl>
    <w:p w14:paraId="0715D4F5" w14:textId="686DBE1D" w:rsidR="00AF573A" w:rsidRDefault="00AF573A" w:rsidP="00AF573A">
      <w:pPr>
        <w:pStyle w:val="ab"/>
        <w:spacing w:line="276" w:lineRule="auto"/>
        <w:rPr>
          <w:sz w:val="20"/>
        </w:rPr>
        <w:sectPr w:rsidR="00AF573A" w:rsidSect="00FD01EC">
          <w:type w:val="continuous"/>
          <w:pgSz w:w="11906" w:h="16838"/>
          <w:pgMar w:top="1417" w:right="1701" w:bottom="1417" w:left="1701" w:header="708" w:footer="708" w:gutter="0"/>
          <w:cols w:space="708"/>
          <w:docGrid w:linePitch="360"/>
        </w:sectPr>
      </w:pPr>
    </w:p>
    <w:p w14:paraId="4D483E38" w14:textId="77777777" w:rsidR="00DE4E05" w:rsidRPr="00AF573A" w:rsidRDefault="00DE4E05" w:rsidP="00AF573A">
      <w:pPr>
        <w:pStyle w:val="Header1"/>
        <w:spacing w:line="276" w:lineRule="auto"/>
        <w:rPr>
          <w:sz w:val="20"/>
          <w:szCs w:val="20"/>
        </w:rPr>
      </w:pPr>
      <w:r w:rsidRPr="00AF573A">
        <w:rPr>
          <w:sz w:val="20"/>
          <w:szCs w:val="20"/>
        </w:rPr>
        <w:t>Conclusion</w:t>
      </w:r>
      <w:r w:rsidR="00C751FA" w:rsidRPr="00AF573A">
        <w:rPr>
          <w:sz w:val="20"/>
          <w:szCs w:val="20"/>
        </w:rPr>
        <w:t>s</w:t>
      </w:r>
    </w:p>
    <w:p w14:paraId="6787D2CB" w14:textId="7A2D7E03" w:rsidR="00C751FA" w:rsidRPr="00AF573A" w:rsidRDefault="00990986" w:rsidP="00AF573A">
      <w:pPr>
        <w:pStyle w:val="ab"/>
        <w:spacing w:line="276" w:lineRule="auto"/>
        <w:rPr>
          <w:sz w:val="20"/>
          <w:szCs w:val="20"/>
        </w:rPr>
      </w:pPr>
      <w:r w:rsidRPr="00AF573A">
        <w:rPr>
          <w:sz w:val="20"/>
          <w:szCs w:val="20"/>
        </w:rPr>
        <w:t xml:space="preserve">The validation process handled with the experts of this research allowed to conclude that the sustainable competitiveness evaluation model - based on innovation, </w:t>
      </w:r>
      <w:r w:rsidR="00007504" w:rsidRPr="00AF573A">
        <w:rPr>
          <w:sz w:val="20"/>
          <w:szCs w:val="20"/>
        </w:rPr>
        <w:t>seems to be</w:t>
      </w:r>
      <w:r w:rsidRPr="00AF573A">
        <w:rPr>
          <w:sz w:val="20"/>
          <w:szCs w:val="20"/>
        </w:rPr>
        <w:t xml:space="preserve"> a </w:t>
      </w:r>
      <w:proofErr w:type="gramStart"/>
      <w:r w:rsidRPr="00AF573A">
        <w:rPr>
          <w:sz w:val="20"/>
          <w:szCs w:val="20"/>
        </w:rPr>
        <w:t>value added</w:t>
      </w:r>
      <w:proofErr w:type="gramEnd"/>
      <w:r w:rsidRPr="00AF573A">
        <w:rPr>
          <w:sz w:val="20"/>
          <w:szCs w:val="20"/>
        </w:rPr>
        <w:t xml:space="preserve"> </w:t>
      </w:r>
      <w:r w:rsidR="0019524D" w:rsidRPr="00AF573A">
        <w:rPr>
          <w:sz w:val="20"/>
          <w:szCs w:val="20"/>
        </w:rPr>
        <w:t>approach</w:t>
      </w:r>
      <w:r w:rsidRPr="00AF573A">
        <w:rPr>
          <w:sz w:val="20"/>
          <w:szCs w:val="20"/>
        </w:rPr>
        <w:t xml:space="preserve">. In fact, they had </w:t>
      </w:r>
      <w:r w:rsidR="0019524D" w:rsidRPr="00AF573A">
        <w:rPr>
          <w:sz w:val="20"/>
          <w:szCs w:val="20"/>
        </w:rPr>
        <w:t>a</w:t>
      </w:r>
      <w:r w:rsidRPr="00AF573A">
        <w:rPr>
          <w:sz w:val="20"/>
          <w:szCs w:val="20"/>
        </w:rPr>
        <w:t xml:space="preserve"> unanimous opinion about the </w:t>
      </w:r>
      <w:r w:rsidR="00027A32" w:rsidRPr="00AF573A">
        <w:rPr>
          <w:sz w:val="20"/>
          <w:szCs w:val="20"/>
        </w:rPr>
        <w:t>importance</w:t>
      </w:r>
      <w:r w:rsidRPr="00AF573A">
        <w:rPr>
          <w:sz w:val="20"/>
          <w:szCs w:val="20"/>
        </w:rPr>
        <w:t xml:space="preserve"> of the model and all assumed that it </w:t>
      </w:r>
      <w:r w:rsidR="00027A32" w:rsidRPr="00AF573A">
        <w:rPr>
          <w:sz w:val="20"/>
          <w:szCs w:val="20"/>
        </w:rPr>
        <w:t>could be</w:t>
      </w:r>
      <w:r w:rsidRPr="00AF573A">
        <w:rPr>
          <w:sz w:val="20"/>
          <w:szCs w:val="20"/>
        </w:rPr>
        <w:t xml:space="preserve"> a helpful tool for managers to identify in what fields</w:t>
      </w:r>
      <w:r w:rsidR="00027A32" w:rsidRPr="00AF573A">
        <w:rPr>
          <w:sz w:val="20"/>
          <w:szCs w:val="20"/>
        </w:rPr>
        <w:t xml:space="preserve"> of innovation the company need</w:t>
      </w:r>
      <w:r w:rsidRPr="00AF573A">
        <w:rPr>
          <w:sz w:val="20"/>
          <w:szCs w:val="20"/>
        </w:rPr>
        <w:t xml:space="preserve"> to improve, as well as to support the definition of actions </w:t>
      </w:r>
      <w:r w:rsidR="00B82FD7" w:rsidRPr="00AF573A">
        <w:rPr>
          <w:sz w:val="20"/>
          <w:szCs w:val="20"/>
        </w:rPr>
        <w:t xml:space="preserve">that should be implemented to drive the company to higher </w:t>
      </w:r>
      <w:r w:rsidR="00B82FD7" w:rsidRPr="00AF573A">
        <w:rPr>
          <w:sz w:val="20"/>
          <w:szCs w:val="20"/>
        </w:rPr>
        <w:t>levels of sustained competitive advantage.</w:t>
      </w:r>
      <w:r w:rsidR="00027A32" w:rsidRPr="00AF573A">
        <w:rPr>
          <w:sz w:val="20"/>
          <w:szCs w:val="20"/>
        </w:rPr>
        <w:t xml:space="preserve"> </w:t>
      </w:r>
      <w:proofErr w:type="gramStart"/>
      <w:r w:rsidR="00027A32" w:rsidRPr="00AF573A">
        <w:rPr>
          <w:sz w:val="20"/>
          <w:szCs w:val="20"/>
        </w:rPr>
        <w:t>In spite of</w:t>
      </w:r>
      <w:proofErr w:type="gramEnd"/>
      <w:r w:rsidR="00027A32" w:rsidRPr="00AF573A">
        <w:rPr>
          <w:sz w:val="20"/>
          <w:szCs w:val="20"/>
        </w:rPr>
        <w:t xml:space="preserve"> the expert’s opinion, the suitability of the model should be validated through its application on a real business context, through the development of cases studies.</w:t>
      </w:r>
    </w:p>
    <w:p w14:paraId="539DEE71" w14:textId="1FE926D2" w:rsidR="00007504" w:rsidRPr="00AF573A" w:rsidRDefault="00027A32" w:rsidP="00AF573A">
      <w:pPr>
        <w:pStyle w:val="ab"/>
        <w:spacing w:line="276" w:lineRule="auto"/>
        <w:rPr>
          <w:sz w:val="20"/>
          <w:szCs w:val="20"/>
        </w:rPr>
      </w:pPr>
      <w:r w:rsidRPr="00AF573A">
        <w:rPr>
          <w:sz w:val="20"/>
          <w:szCs w:val="20"/>
        </w:rPr>
        <w:t>Regarding the model</w:t>
      </w:r>
      <w:r w:rsidR="007A1BE5" w:rsidRPr="00AF573A">
        <w:rPr>
          <w:sz w:val="20"/>
          <w:szCs w:val="20"/>
        </w:rPr>
        <w:t>’</w:t>
      </w:r>
      <w:r w:rsidRPr="00AF573A">
        <w:rPr>
          <w:sz w:val="20"/>
          <w:szCs w:val="20"/>
        </w:rPr>
        <w:t xml:space="preserve">s improvement, other issues </w:t>
      </w:r>
      <w:r w:rsidR="0077685A" w:rsidRPr="00AF573A">
        <w:rPr>
          <w:sz w:val="20"/>
          <w:szCs w:val="20"/>
        </w:rPr>
        <w:t>could</w:t>
      </w:r>
      <w:r w:rsidR="00B26B56" w:rsidRPr="00AF573A">
        <w:rPr>
          <w:sz w:val="20"/>
          <w:szCs w:val="20"/>
        </w:rPr>
        <w:t xml:space="preserve"> be</w:t>
      </w:r>
      <w:r w:rsidRPr="00AF573A">
        <w:rPr>
          <w:sz w:val="20"/>
          <w:szCs w:val="20"/>
        </w:rPr>
        <w:t xml:space="preserve"> </w:t>
      </w:r>
      <w:r w:rsidR="00766CB3" w:rsidRPr="00AF573A">
        <w:rPr>
          <w:sz w:val="20"/>
          <w:szCs w:val="20"/>
        </w:rPr>
        <w:t>taken into account</w:t>
      </w:r>
      <w:r w:rsidR="00B26B56" w:rsidRPr="00AF573A">
        <w:rPr>
          <w:sz w:val="20"/>
          <w:szCs w:val="20"/>
        </w:rPr>
        <w:t xml:space="preserve"> for further research</w:t>
      </w:r>
      <w:r w:rsidR="00CE5775" w:rsidRPr="00AF573A">
        <w:rPr>
          <w:sz w:val="20"/>
          <w:szCs w:val="20"/>
        </w:rPr>
        <w:t xml:space="preserve"> and to answer to additional </w:t>
      </w:r>
      <w:r w:rsidR="002559B0" w:rsidRPr="00AF573A">
        <w:rPr>
          <w:sz w:val="20"/>
          <w:szCs w:val="20"/>
        </w:rPr>
        <w:t>aspects</w:t>
      </w:r>
      <w:r w:rsidRPr="00AF573A">
        <w:rPr>
          <w:sz w:val="20"/>
          <w:szCs w:val="20"/>
        </w:rPr>
        <w:t xml:space="preserve">, namely </w:t>
      </w:r>
      <w:r w:rsidR="00007504" w:rsidRPr="00AF573A">
        <w:rPr>
          <w:sz w:val="20"/>
          <w:szCs w:val="20"/>
        </w:rPr>
        <w:t>product</w:t>
      </w:r>
      <w:r w:rsidR="00B26B56" w:rsidRPr="00AF573A">
        <w:rPr>
          <w:sz w:val="20"/>
          <w:szCs w:val="20"/>
        </w:rPr>
        <w:t xml:space="preserve">-related sustainability factors, </w:t>
      </w:r>
      <w:r w:rsidR="0077685A" w:rsidRPr="00AF573A">
        <w:rPr>
          <w:sz w:val="20"/>
          <w:szCs w:val="20"/>
          <w:lang w:val="en"/>
        </w:rPr>
        <w:t xml:space="preserve">such as for example </w:t>
      </w:r>
      <w:r w:rsidR="0077685A" w:rsidRPr="00AF573A">
        <w:rPr>
          <w:sz w:val="20"/>
          <w:szCs w:val="20"/>
        </w:rPr>
        <w:t>at Business Proposition s</w:t>
      </w:r>
      <w:r w:rsidR="00007504" w:rsidRPr="00AF573A">
        <w:rPr>
          <w:sz w:val="20"/>
          <w:szCs w:val="20"/>
        </w:rPr>
        <w:t xml:space="preserve">ales of green products should be </w:t>
      </w:r>
      <w:r w:rsidR="0077685A" w:rsidRPr="00AF573A">
        <w:rPr>
          <w:sz w:val="20"/>
          <w:szCs w:val="20"/>
        </w:rPr>
        <w:t>also “social”? a</w:t>
      </w:r>
      <w:r w:rsidR="00007504" w:rsidRPr="00AF573A">
        <w:rPr>
          <w:sz w:val="20"/>
          <w:szCs w:val="20"/>
        </w:rPr>
        <w:t>t Financ</w:t>
      </w:r>
      <w:r w:rsidR="0077685A" w:rsidRPr="00AF573A">
        <w:rPr>
          <w:sz w:val="20"/>
          <w:szCs w:val="20"/>
        </w:rPr>
        <w:t>ial Stability could be another a</w:t>
      </w:r>
      <w:r w:rsidR="00007504" w:rsidRPr="00AF573A">
        <w:rPr>
          <w:sz w:val="20"/>
          <w:szCs w:val="20"/>
        </w:rPr>
        <w:t xml:space="preserve">spect </w:t>
      </w:r>
      <w:r w:rsidR="00007504" w:rsidRPr="00AF573A">
        <w:rPr>
          <w:sz w:val="20"/>
          <w:szCs w:val="20"/>
        </w:rPr>
        <w:lastRenderedPageBreak/>
        <w:t>producing more inte</w:t>
      </w:r>
      <w:r w:rsidR="0077685A" w:rsidRPr="00AF573A">
        <w:rPr>
          <w:sz w:val="20"/>
          <w:szCs w:val="20"/>
        </w:rPr>
        <w:t>lligent or more simple products? a</w:t>
      </w:r>
      <w:r w:rsidR="002559B0" w:rsidRPr="00AF573A">
        <w:rPr>
          <w:sz w:val="20"/>
          <w:szCs w:val="20"/>
        </w:rPr>
        <w:t>t Organization W</w:t>
      </w:r>
      <w:r w:rsidR="00007504" w:rsidRPr="00AF573A">
        <w:rPr>
          <w:sz w:val="20"/>
          <w:szCs w:val="20"/>
        </w:rPr>
        <w:t xml:space="preserve">ellbeing the ability for problem solving and to </w:t>
      </w:r>
      <w:r w:rsidR="00CE5775" w:rsidRPr="00AF573A">
        <w:rPr>
          <w:sz w:val="20"/>
          <w:szCs w:val="20"/>
        </w:rPr>
        <w:t xml:space="preserve">people </w:t>
      </w:r>
      <w:r w:rsidR="00007504" w:rsidRPr="00AF573A">
        <w:rPr>
          <w:sz w:val="20"/>
          <w:szCs w:val="20"/>
        </w:rPr>
        <w:t xml:space="preserve">change themselves </w:t>
      </w:r>
      <w:r w:rsidR="0077685A" w:rsidRPr="00AF573A">
        <w:rPr>
          <w:sz w:val="20"/>
          <w:szCs w:val="20"/>
        </w:rPr>
        <w:t xml:space="preserve">should be incorporated? </w:t>
      </w:r>
      <w:r w:rsidR="00007504" w:rsidRPr="00AF573A">
        <w:rPr>
          <w:sz w:val="20"/>
          <w:szCs w:val="20"/>
        </w:rPr>
        <w:t>Carbon footprint per employee should</w:t>
      </w:r>
      <w:r w:rsidR="00CE5775" w:rsidRPr="00AF573A">
        <w:rPr>
          <w:sz w:val="20"/>
          <w:szCs w:val="20"/>
        </w:rPr>
        <w:t xml:space="preserve"> be called at Operational L</w:t>
      </w:r>
      <w:r w:rsidR="00007504" w:rsidRPr="00AF573A">
        <w:rPr>
          <w:sz w:val="20"/>
          <w:szCs w:val="20"/>
        </w:rPr>
        <w:t>eanness, too</w:t>
      </w:r>
      <w:r w:rsidR="0077685A" w:rsidRPr="00AF573A">
        <w:rPr>
          <w:sz w:val="20"/>
          <w:szCs w:val="20"/>
        </w:rPr>
        <w:t>?</w:t>
      </w:r>
      <w:r w:rsidR="00CE5775" w:rsidRPr="00AF573A">
        <w:rPr>
          <w:sz w:val="20"/>
          <w:szCs w:val="20"/>
        </w:rPr>
        <w:t xml:space="preserve"> Technological Alignment </w:t>
      </w:r>
      <w:r w:rsidR="00007504" w:rsidRPr="00AF573A">
        <w:rPr>
          <w:sz w:val="20"/>
          <w:szCs w:val="20"/>
        </w:rPr>
        <w:t xml:space="preserve">should </w:t>
      </w:r>
      <w:r w:rsidR="00CE5775" w:rsidRPr="00AF573A">
        <w:rPr>
          <w:sz w:val="20"/>
          <w:szCs w:val="20"/>
        </w:rPr>
        <w:t xml:space="preserve">also </w:t>
      </w:r>
      <w:r w:rsidR="00007504" w:rsidRPr="00AF573A">
        <w:rPr>
          <w:sz w:val="20"/>
          <w:szCs w:val="20"/>
        </w:rPr>
        <w:t>check the consequences of new pr</w:t>
      </w:r>
      <w:r w:rsidR="00CE5775" w:rsidRPr="00AF573A">
        <w:rPr>
          <w:sz w:val="20"/>
          <w:szCs w:val="20"/>
        </w:rPr>
        <w:t xml:space="preserve">oduct (medium term, long term)? </w:t>
      </w:r>
      <w:r w:rsidR="00007504" w:rsidRPr="00AF573A">
        <w:rPr>
          <w:sz w:val="20"/>
          <w:szCs w:val="20"/>
        </w:rPr>
        <w:t>Facility Suitability</w:t>
      </w:r>
      <w:r w:rsidR="00CE5775" w:rsidRPr="00AF573A">
        <w:rPr>
          <w:sz w:val="20"/>
          <w:szCs w:val="20"/>
        </w:rPr>
        <w:t xml:space="preserve"> </w:t>
      </w:r>
      <w:r w:rsidR="00007504" w:rsidRPr="00AF573A">
        <w:rPr>
          <w:sz w:val="20"/>
          <w:szCs w:val="20"/>
        </w:rPr>
        <w:t xml:space="preserve">should </w:t>
      </w:r>
      <w:r w:rsidR="00CE5775" w:rsidRPr="00AF573A">
        <w:rPr>
          <w:sz w:val="20"/>
          <w:szCs w:val="20"/>
        </w:rPr>
        <w:t xml:space="preserve">also </w:t>
      </w:r>
      <w:r w:rsidR="00007504" w:rsidRPr="00AF573A">
        <w:rPr>
          <w:sz w:val="20"/>
          <w:szCs w:val="20"/>
        </w:rPr>
        <w:t>contain the invest</w:t>
      </w:r>
      <w:r w:rsidR="00CE5775" w:rsidRPr="00AF573A">
        <w:rPr>
          <w:sz w:val="20"/>
          <w:szCs w:val="20"/>
        </w:rPr>
        <w:t>ment</w:t>
      </w:r>
      <w:r w:rsidR="00007504" w:rsidRPr="00AF573A">
        <w:rPr>
          <w:sz w:val="20"/>
          <w:szCs w:val="20"/>
        </w:rPr>
        <w:t xml:space="preserve"> for suitable facilities for an effect</w:t>
      </w:r>
      <w:r w:rsidR="002559B0" w:rsidRPr="00AF573A">
        <w:rPr>
          <w:sz w:val="20"/>
          <w:szCs w:val="20"/>
        </w:rPr>
        <w:t>ive innovation</w:t>
      </w:r>
      <w:r w:rsidR="00007504" w:rsidRPr="00AF573A">
        <w:rPr>
          <w:sz w:val="20"/>
          <w:szCs w:val="20"/>
        </w:rPr>
        <w:t xml:space="preserve"> process, </w:t>
      </w:r>
      <w:r w:rsidR="00CE5775" w:rsidRPr="00AF573A">
        <w:rPr>
          <w:sz w:val="20"/>
          <w:szCs w:val="20"/>
        </w:rPr>
        <w:t>or this is covered by Financial Stability?</w:t>
      </w:r>
    </w:p>
    <w:p w14:paraId="6FDF3834" w14:textId="6E531FCE" w:rsidR="00007504" w:rsidRPr="00AF573A" w:rsidRDefault="002559B0" w:rsidP="00AF573A">
      <w:pPr>
        <w:pStyle w:val="ab"/>
        <w:spacing w:line="276" w:lineRule="auto"/>
        <w:rPr>
          <w:sz w:val="20"/>
          <w:szCs w:val="20"/>
          <w:lang w:val="en"/>
        </w:rPr>
      </w:pPr>
      <w:r w:rsidRPr="00AF573A">
        <w:rPr>
          <w:sz w:val="20"/>
          <w:szCs w:val="20"/>
        </w:rPr>
        <w:t>It is</w:t>
      </w:r>
      <w:r w:rsidR="00CE5775" w:rsidRPr="00AF573A">
        <w:rPr>
          <w:sz w:val="20"/>
          <w:szCs w:val="20"/>
        </w:rPr>
        <w:t xml:space="preserve"> </w:t>
      </w:r>
      <w:r w:rsidR="00CE5775" w:rsidRPr="00AF573A">
        <w:rPr>
          <w:sz w:val="20"/>
          <w:szCs w:val="20"/>
          <w:lang w:val="en"/>
        </w:rPr>
        <w:t>possible to conclude that</w:t>
      </w:r>
      <w:r w:rsidRPr="00AF573A">
        <w:rPr>
          <w:sz w:val="20"/>
          <w:szCs w:val="20"/>
          <w:lang w:val="en"/>
        </w:rPr>
        <w:t>,</w:t>
      </w:r>
      <w:r w:rsidR="00CE5775" w:rsidRPr="00AF573A">
        <w:rPr>
          <w:sz w:val="20"/>
          <w:szCs w:val="20"/>
          <w:lang w:val="en"/>
        </w:rPr>
        <w:t xml:space="preserve"> although the developed model </w:t>
      </w:r>
      <w:r w:rsidRPr="00AF573A">
        <w:rPr>
          <w:sz w:val="20"/>
          <w:szCs w:val="20"/>
          <w:lang w:val="en"/>
        </w:rPr>
        <w:t xml:space="preserve">achieved which at this stage </w:t>
      </w:r>
      <w:r w:rsidR="00CE5775" w:rsidRPr="00AF573A">
        <w:rPr>
          <w:sz w:val="20"/>
          <w:szCs w:val="20"/>
          <w:lang w:val="en"/>
        </w:rPr>
        <w:t xml:space="preserve">can be </w:t>
      </w:r>
      <w:r w:rsidRPr="00AF573A">
        <w:rPr>
          <w:sz w:val="20"/>
          <w:szCs w:val="20"/>
          <w:lang w:val="en"/>
        </w:rPr>
        <w:t xml:space="preserve">assumed as </w:t>
      </w:r>
      <w:r w:rsidR="00CE5775" w:rsidRPr="00AF573A">
        <w:rPr>
          <w:sz w:val="20"/>
          <w:szCs w:val="20"/>
          <w:lang w:val="en"/>
        </w:rPr>
        <w:t>a benefit for companies as a tool to support the process of increasing their competitive advantage, there still room for improvement</w:t>
      </w:r>
      <w:r w:rsidR="00CD10BE" w:rsidRPr="00AF573A">
        <w:rPr>
          <w:sz w:val="20"/>
          <w:szCs w:val="20"/>
          <w:lang w:val="en"/>
        </w:rPr>
        <w:t>s.</w:t>
      </w:r>
    </w:p>
    <w:p w14:paraId="24F7F175" w14:textId="77777777" w:rsidR="00DE4E05" w:rsidRPr="00AF573A" w:rsidRDefault="00DE4E05" w:rsidP="00AF573A">
      <w:pPr>
        <w:pStyle w:val="Header1"/>
        <w:spacing w:line="276" w:lineRule="auto"/>
        <w:rPr>
          <w:sz w:val="20"/>
          <w:szCs w:val="20"/>
        </w:rPr>
      </w:pPr>
      <w:r w:rsidRPr="00AF573A">
        <w:rPr>
          <w:sz w:val="20"/>
          <w:szCs w:val="20"/>
          <w:lang w:val="en-GB"/>
        </w:rPr>
        <w:t xml:space="preserve">Acknowledgements </w:t>
      </w:r>
    </w:p>
    <w:p w14:paraId="56F6E00E" w14:textId="77777777" w:rsidR="00DE4E05" w:rsidRPr="00AF573A" w:rsidRDefault="00DE4E05" w:rsidP="00AF573A">
      <w:pPr>
        <w:pStyle w:val="ab"/>
        <w:spacing w:line="276" w:lineRule="auto"/>
        <w:rPr>
          <w:sz w:val="20"/>
          <w:szCs w:val="20"/>
        </w:rPr>
      </w:pPr>
      <w:r w:rsidRPr="00AF573A">
        <w:rPr>
          <w:sz w:val="20"/>
          <w:szCs w:val="20"/>
        </w:rPr>
        <w:t xml:space="preserve">In all of this, I would like to acknowledge the assistance and support I received from Professor </w:t>
      </w:r>
      <w:proofErr w:type="spellStart"/>
      <w:r w:rsidRPr="00AF573A">
        <w:rPr>
          <w:sz w:val="20"/>
          <w:szCs w:val="20"/>
        </w:rPr>
        <w:t>Virgílio</w:t>
      </w:r>
      <w:proofErr w:type="spellEnd"/>
      <w:r w:rsidR="00B82FD7" w:rsidRPr="00AF573A">
        <w:rPr>
          <w:sz w:val="20"/>
          <w:szCs w:val="20"/>
        </w:rPr>
        <w:t xml:space="preserve"> Cruz Machado.</w:t>
      </w:r>
    </w:p>
    <w:p w14:paraId="38B4BEF5" w14:textId="77777777" w:rsidR="00DE4E05" w:rsidRPr="00AF573A" w:rsidRDefault="00DE4E05" w:rsidP="00AF573A">
      <w:pPr>
        <w:pStyle w:val="Header1"/>
        <w:spacing w:before="120" w:line="276" w:lineRule="auto"/>
        <w:jc w:val="both"/>
        <w:rPr>
          <w:sz w:val="20"/>
          <w:szCs w:val="20"/>
        </w:rPr>
      </w:pPr>
      <w:r w:rsidRPr="00AF573A">
        <w:rPr>
          <w:sz w:val="20"/>
          <w:szCs w:val="20"/>
        </w:rPr>
        <w:t>References</w:t>
      </w:r>
    </w:p>
    <w:p w14:paraId="090E7E45" w14:textId="2A634B19" w:rsidR="007F2AD2" w:rsidRPr="00AF573A" w:rsidRDefault="007F2AD2" w:rsidP="00AF573A">
      <w:pPr>
        <w:pStyle w:val="References"/>
        <w:widowControl w:val="0"/>
        <w:numPr>
          <w:ilvl w:val="0"/>
          <w:numId w:val="0"/>
        </w:numPr>
        <w:spacing w:before="240" w:afterLines="0" w:after="240" w:line="276" w:lineRule="auto"/>
        <w:ind w:left="360" w:hanging="360"/>
        <w:jc w:val="both"/>
        <w:rPr>
          <w:i/>
          <w:iCs/>
        </w:rPr>
      </w:pPr>
      <w:proofErr w:type="spellStart"/>
      <w:r w:rsidRPr="00AF573A">
        <w:t>Arash</w:t>
      </w:r>
      <w:proofErr w:type="spellEnd"/>
      <w:r w:rsidRPr="00AF573A">
        <w:t xml:space="preserve"> Shahin, </w:t>
      </w:r>
      <w:proofErr w:type="spellStart"/>
      <w:r w:rsidRPr="00AF573A">
        <w:t>Hosein</w:t>
      </w:r>
      <w:proofErr w:type="spellEnd"/>
      <w:r w:rsidRPr="00AF573A">
        <w:t xml:space="preserve"> </w:t>
      </w:r>
      <w:proofErr w:type="spellStart"/>
      <w:r w:rsidRPr="00AF573A">
        <w:t>Rezaei</w:t>
      </w:r>
      <w:proofErr w:type="spellEnd"/>
      <w:r w:rsidRPr="00AF573A">
        <w:t xml:space="preserve"> </w:t>
      </w:r>
      <w:proofErr w:type="spellStart"/>
      <w:r w:rsidRPr="00AF573A">
        <w:t>Dolatabadi</w:t>
      </w:r>
      <w:proofErr w:type="spellEnd"/>
      <w:r w:rsidRPr="00AF573A">
        <w:t xml:space="preserve">, Milad </w:t>
      </w:r>
      <w:proofErr w:type="spellStart"/>
      <w:r w:rsidRPr="00AF573A">
        <w:t>Kouchekian</w:t>
      </w:r>
      <w:proofErr w:type="spellEnd"/>
      <w:r w:rsidRPr="00AF573A">
        <w:t xml:space="preserve"> (</w:t>
      </w:r>
      <w:r w:rsidRPr="00AF573A">
        <w:rPr>
          <w:iCs/>
        </w:rPr>
        <w:t xml:space="preserve">2012). </w:t>
      </w:r>
      <w:r w:rsidRPr="00AF573A">
        <w:t xml:space="preserve">Proposing an Integrated Model of BSC and EFQM and Analyzing its Influence on Organizational Strategies and Performance - The Case of Isfahan Municipality Complex. </w:t>
      </w:r>
      <w:r w:rsidRPr="00AF573A">
        <w:rPr>
          <w:i/>
          <w:iCs/>
        </w:rPr>
        <w:t>International Journal of Academic Research in Economics and Mana</w:t>
      </w:r>
      <w:r w:rsidR="00C366E5" w:rsidRPr="00AF573A">
        <w:rPr>
          <w:i/>
          <w:iCs/>
        </w:rPr>
        <w:t>gement Sciences, Vol. 1, No. 3.</w:t>
      </w:r>
    </w:p>
    <w:p w14:paraId="3E44B84D" w14:textId="41572867" w:rsidR="00C366E5" w:rsidRPr="00AF573A" w:rsidRDefault="00C366E5" w:rsidP="00AF573A">
      <w:pPr>
        <w:pStyle w:val="ab"/>
        <w:spacing w:before="240" w:line="276" w:lineRule="auto"/>
        <w:ind w:left="425" w:hanging="425"/>
        <w:jc w:val="left"/>
        <w:rPr>
          <w:i/>
          <w:sz w:val="20"/>
          <w:szCs w:val="20"/>
        </w:rPr>
      </w:pPr>
      <w:proofErr w:type="spellStart"/>
      <w:r w:rsidRPr="00AF573A">
        <w:rPr>
          <w:sz w:val="20"/>
          <w:szCs w:val="20"/>
        </w:rPr>
        <w:t>Berghman</w:t>
      </w:r>
      <w:proofErr w:type="spellEnd"/>
      <w:r w:rsidRPr="00AF573A">
        <w:rPr>
          <w:sz w:val="20"/>
          <w:szCs w:val="20"/>
        </w:rPr>
        <w:t xml:space="preserve">, L., </w:t>
      </w:r>
      <w:proofErr w:type="spellStart"/>
      <w:r w:rsidRPr="00AF573A">
        <w:rPr>
          <w:sz w:val="20"/>
          <w:szCs w:val="20"/>
        </w:rPr>
        <w:t>Matthyssens</w:t>
      </w:r>
      <w:proofErr w:type="spellEnd"/>
      <w:r w:rsidRPr="00AF573A">
        <w:rPr>
          <w:sz w:val="20"/>
          <w:szCs w:val="20"/>
        </w:rPr>
        <w:t xml:space="preserve">, P., </w:t>
      </w:r>
      <w:proofErr w:type="spellStart"/>
      <w:r w:rsidRPr="00AF573A">
        <w:rPr>
          <w:sz w:val="20"/>
          <w:szCs w:val="20"/>
        </w:rPr>
        <w:t>Streukens</w:t>
      </w:r>
      <w:proofErr w:type="spellEnd"/>
      <w:r w:rsidRPr="00AF573A">
        <w:rPr>
          <w:sz w:val="20"/>
          <w:szCs w:val="20"/>
        </w:rPr>
        <w:t xml:space="preserve">, S., &amp; </w:t>
      </w:r>
      <w:proofErr w:type="spellStart"/>
      <w:r w:rsidRPr="00AF573A">
        <w:rPr>
          <w:sz w:val="20"/>
          <w:szCs w:val="20"/>
        </w:rPr>
        <w:t>Vandenbempt</w:t>
      </w:r>
      <w:proofErr w:type="spellEnd"/>
      <w:r w:rsidRPr="00AF573A">
        <w:rPr>
          <w:sz w:val="20"/>
          <w:szCs w:val="20"/>
        </w:rPr>
        <w:t xml:space="preserve">, K. (2013). Deliberate Learning Mechanisms for Stimulating Strategic Innovation Capacity. Long Range Planning, 46(1-2), 39–71. </w:t>
      </w:r>
      <w:r w:rsidRPr="00AF573A">
        <w:rPr>
          <w:i/>
          <w:sz w:val="20"/>
          <w:szCs w:val="20"/>
        </w:rPr>
        <w:t>Elsevier Ltd. Retrieved</w:t>
      </w:r>
      <w:r w:rsidR="00AF573A">
        <w:rPr>
          <w:i/>
          <w:sz w:val="20"/>
          <w:szCs w:val="20"/>
        </w:rPr>
        <w:t xml:space="preserve"> </w:t>
      </w:r>
      <w:r w:rsidRPr="00AF573A">
        <w:rPr>
          <w:i/>
          <w:sz w:val="20"/>
          <w:szCs w:val="20"/>
        </w:rPr>
        <w:t>from</w:t>
      </w:r>
      <w:r w:rsidR="00AF573A">
        <w:rPr>
          <w:i/>
          <w:sz w:val="20"/>
          <w:szCs w:val="20"/>
        </w:rPr>
        <w:t xml:space="preserve"> </w:t>
      </w:r>
      <w:hyperlink r:id="rId23" w:history="1">
        <w:r w:rsidRPr="00A857E5">
          <w:rPr>
            <w:rStyle w:val="a3"/>
            <w:sz w:val="20"/>
            <w:szCs w:val="20"/>
          </w:rPr>
          <w:t>http://linkinghub.elsevier.com/retrieve/pii/ S002463011200074X</w:t>
        </w:r>
        <w:r w:rsidR="00DA7B91" w:rsidRPr="00A857E5">
          <w:rPr>
            <w:rStyle w:val="a3"/>
            <w:sz w:val="20"/>
            <w:szCs w:val="20"/>
          </w:rPr>
          <w:t>.</w:t>
        </w:r>
      </w:hyperlink>
    </w:p>
    <w:p w14:paraId="38E7FD6A" w14:textId="4DF4571B" w:rsidR="00C366E5" w:rsidRPr="00AF573A" w:rsidRDefault="00C366E5" w:rsidP="00AF573A">
      <w:pPr>
        <w:pStyle w:val="References"/>
        <w:widowControl w:val="0"/>
        <w:numPr>
          <w:ilvl w:val="0"/>
          <w:numId w:val="0"/>
        </w:numPr>
        <w:spacing w:before="240" w:afterLines="0" w:after="240" w:line="276" w:lineRule="auto"/>
        <w:ind w:left="360" w:hanging="360"/>
        <w:jc w:val="both"/>
      </w:pPr>
      <w:r w:rsidRPr="00AF573A">
        <w:t>Chesbrough, H. (2006). Open Business Models:</w:t>
      </w:r>
      <w:r w:rsidRPr="00AF573A">
        <w:rPr>
          <w:i/>
        </w:rPr>
        <w:t xml:space="preserve"> </w:t>
      </w:r>
      <w:r w:rsidRPr="00AF573A">
        <w:t xml:space="preserve">How to Thrive in the New Innovation Landscape. </w:t>
      </w:r>
      <w:r w:rsidRPr="00AF573A">
        <w:rPr>
          <w:i/>
        </w:rPr>
        <w:t>Harvard Business School Press.</w:t>
      </w:r>
    </w:p>
    <w:p w14:paraId="05067CB4" w14:textId="77777777" w:rsidR="00C366E5" w:rsidRPr="00AF573A" w:rsidRDefault="00C366E5" w:rsidP="00AF573A">
      <w:pPr>
        <w:pStyle w:val="ab"/>
        <w:spacing w:before="240" w:line="276" w:lineRule="auto"/>
        <w:ind w:left="426" w:hanging="426"/>
        <w:rPr>
          <w:i/>
          <w:sz w:val="20"/>
          <w:szCs w:val="20"/>
        </w:rPr>
      </w:pPr>
      <w:r w:rsidRPr="00AF573A">
        <w:rPr>
          <w:sz w:val="20"/>
          <w:szCs w:val="20"/>
        </w:rPr>
        <w:t xml:space="preserve">Chesbrough, H. (2013). Open business models: How to thrive in the </w:t>
      </w:r>
      <w:proofErr w:type="gramStart"/>
      <w:r w:rsidRPr="00AF573A">
        <w:rPr>
          <w:sz w:val="20"/>
          <w:szCs w:val="20"/>
        </w:rPr>
        <w:t>new innovation</w:t>
      </w:r>
      <w:proofErr w:type="gramEnd"/>
      <w:r w:rsidRPr="00AF573A">
        <w:rPr>
          <w:sz w:val="20"/>
          <w:szCs w:val="20"/>
        </w:rPr>
        <w:t xml:space="preserve"> landscape. </w:t>
      </w:r>
      <w:r w:rsidRPr="00AF573A">
        <w:rPr>
          <w:i/>
          <w:sz w:val="20"/>
          <w:szCs w:val="20"/>
        </w:rPr>
        <w:t>Harvard Business Press.</w:t>
      </w:r>
    </w:p>
    <w:p w14:paraId="0607A10C" w14:textId="77777777" w:rsidR="00C366E5" w:rsidRPr="00AF573A" w:rsidRDefault="00C366E5" w:rsidP="00AF573A">
      <w:pPr>
        <w:pStyle w:val="ab"/>
        <w:spacing w:before="240" w:line="276" w:lineRule="auto"/>
        <w:ind w:left="425" w:hanging="425"/>
        <w:rPr>
          <w:i/>
          <w:sz w:val="20"/>
          <w:szCs w:val="20"/>
        </w:rPr>
      </w:pPr>
      <w:r w:rsidRPr="00AF573A">
        <w:rPr>
          <w:sz w:val="20"/>
          <w:szCs w:val="20"/>
        </w:rPr>
        <w:t xml:space="preserve">Christensen, C. M. (2013). </w:t>
      </w:r>
      <w:r w:rsidRPr="00AF573A">
        <w:rPr>
          <w:iCs/>
          <w:sz w:val="20"/>
          <w:szCs w:val="20"/>
        </w:rPr>
        <w:t>The innovator's dilemma: when new technologies cause great firms to fail</w:t>
      </w:r>
      <w:r w:rsidRPr="00AF573A">
        <w:rPr>
          <w:sz w:val="20"/>
          <w:szCs w:val="20"/>
        </w:rPr>
        <w:t xml:space="preserve">. </w:t>
      </w:r>
      <w:r w:rsidRPr="00AF573A">
        <w:rPr>
          <w:i/>
          <w:sz w:val="20"/>
          <w:szCs w:val="20"/>
        </w:rPr>
        <w:t>Harvard Business Review Press.</w:t>
      </w:r>
    </w:p>
    <w:p w14:paraId="0C0ED890" w14:textId="67DF8C96" w:rsidR="007F2AD2" w:rsidRPr="00AF573A" w:rsidRDefault="007F2AD2" w:rsidP="00AF573A">
      <w:pPr>
        <w:pStyle w:val="References"/>
        <w:widowControl w:val="0"/>
        <w:numPr>
          <w:ilvl w:val="0"/>
          <w:numId w:val="0"/>
        </w:numPr>
        <w:spacing w:before="240" w:afterLines="0" w:after="240" w:line="276" w:lineRule="auto"/>
        <w:ind w:left="360" w:hanging="360"/>
        <w:jc w:val="both"/>
        <w:rPr>
          <w:rStyle w:val="maintitle"/>
          <w:rFonts w:ascii="Calibri" w:hAnsi="Calibri" w:cs="Calibri"/>
          <w:i/>
        </w:rPr>
      </w:pPr>
      <w:r w:rsidRPr="00AF573A">
        <w:t>Clayton M. Christensen (</w:t>
      </w:r>
      <w:r w:rsidRPr="00AF573A">
        <w:rPr>
          <w:rStyle w:val="maintitle"/>
        </w:rPr>
        <w:t xml:space="preserve">2009). Exploring </w:t>
      </w:r>
      <w:proofErr w:type="gramStart"/>
      <w:r w:rsidRPr="00AF573A">
        <w:rPr>
          <w:rStyle w:val="maintitle"/>
        </w:rPr>
        <w:t>The</w:t>
      </w:r>
      <w:proofErr w:type="gramEnd"/>
      <w:r w:rsidRPr="00AF573A">
        <w:rPr>
          <w:rStyle w:val="maintitle"/>
        </w:rPr>
        <w:t xml:space="preserve"> Limits Of The Technology S-Curve. Part I: Component Technologies. </w:t>
      </w:r>
      <w:r w:rsidRPr="00AF573A">
        <w:rPr>
          <w:rStyle w:val="maintitle"/>
          <w:i/>
        </w:rPr>
        <w:t>Production and Operations Management, Wiley Online Library</w:t>
      </w:r>
      <w:r w:rsidR="00C366E5" w:rsidRPr="00AF573A">
        <w:rPr>
          <w:rStyle w:val="maintitle"/>
          <w:i/>
        </w:rPr>
        <w:t>.</w:t>
      </w:r>
    </w:p>
    <w:p w14:paraId="3096C855" w14:textId="77777777" w:rsidR="007F2AD2" w:rsidRPr="00AF573A" w:rsidRDefault="007F2AD2" w:rsidP="00AF573A">
      <w:pPr>
        <w:pStyle w:val="ab"/>
        <w:spacing w:before="240" w:after="240" w:line="276" w:lineRule="auto"/>
        <w:ind w:left="426" w:hanging="426"/>
        <w:rPr>
          <w:rFonts w:ascii="Arial" w:hAnsi="Arial" w:cs="Arial"/>
          <w:color w:val="222222"/>
          <w:sz w:val="20"/>
          <w:szCs w:val="20"/>
          <w:shd w:val="clear" w:color="auto" w:fill="FFFFFF"/>
        </w:rPr>
      </w:pPr>
      <w:r w:rsidRPr="00AF573A">
        <w:rPr>
          <w:sz w:val="20"/>
          <w:szCs w:val="20"/>
        </w:rPr>
        <w:t xml:space="preserve">Clayton, C. (1997). The innovator’s dilemma: When new technologies cause great firms to fail. </w:t>
      </w:r>
      <w:r w:rsidRPr="00AF573A">
        <w:rPr>
          <w:i/>
          <w:iCs/>
          <w:sz w:val="20"/>
          <w:szCs w:val="20"/>
        </w:rPr>
        <w:t>Harvard Business School Print</w:t>
      </w:r>
      <w:r w:rsidRPr="00AF573A">
        <w:rPr>
          <w:sz w:val="20"/>
          <w:szCs w:val="20"/>
        </w:rPr>
        <w:t>.</w:t>
      </w:r>
    </w:p>
    <w:p w14:paraId="23902B50" w14:textId="77777777" w:rsidR="007F2AD2" w:rsidRPr="00AF573A" w:rsidRDefault="007F2AD2" w:rsidP="00AF573A">
      <w:pPr>
        <w:pStyle w:val="ab"/>
        <w:spacing w:before="240" w:after="240" w:line="276" w:lineRule="auto"/>
        <w:ind w:left="426" w:hanging="426"/>
        <w:rPr>
          <w:i/>
          <w:sz w:val="20"/>
          <w:szCs w:val="20"/>
        </w:rPr>
      </w:pPr>
      <w:r w:rsidRPr="00AF573A">
        <w:rPr>
          <w:sz w:val="20"/>
          <w:szCs w:val="20"/>
        </w:rPr>
        <w:t xml:space="preserve">Collins, J. C. (2009). </w:t>
      </w:r>
      <w:r w:rsidRPr="00AF573A">
        <w:rPr>
          <w:iCs/>
          <w:sz w:val="20"/>
          <w:szCs w:val="20"/>
        </w:rPr>
        <w:t>How the mighty fall: And why some companies never give in</w:t>
      </w:r>
      <w:r w:rsidRPr="00AF573A">
        <w:rPr>
          <w:sz w:val="20"/>
          <w:szCs w:val="20"/>
        </w:rPr>
        <w:t>.</w:t>
      </w:r>
      <w:r w:rsidRPr="00AF573A">
        <w:rPr>
          <w:i/>
          <w:sz w:val="20"/>
          <w:szCs w:val="20"/>
        </w:rPr>
        <w:t xml:space="preserve"> (1th ed.) Random House.</w:t>
      </w:r>
    </w:p>
    <w:p w14:paraId="6CDA6C02" w14:textId="77777777" w:rsidR="007F2AD2" w:rsidRPr="00AF573A" w:rsidRDefault="007F2AD2" w:rsidP="00AF573A">
      <w:pPr>
        <w:pStyle w:val="ab"/>
        <w:spacing w:before="240" w:after="240" w:line="276" w:lineRule="auto"/>
        <w:ind w:left="426" w:hanging="426"/>
        <w:rPr>
          <w:i/>
          <w:sz w:val="20"/>
          <w:szCs w:val="20"/>
        </w:rPr>
      </w:pPr>
      <w:r w:rsidRPr="00AF573A">
        <w:rPr>
          <w:sz w:val="20"/>
          <w:szCs w:val="20"/>
        </w:rPr>
        <w:t xml:space="preserve">Dibrell, C., Craig, J., &amp; Hansen, E. (2011). Natural environment, market orientation, and firm innovativeness: An organizational life cycle perspective. </w:t>
      </w:r>
      <w:r w:rsidRPr="00AF573A">
        <w:rPr>
          <w:i/>
          <w:iCs/>
          <w:sz w:val="20"/>
          <w:szCs w:val="20"/>
        </w:rPr>
        <w:t>Journal of Small Business Management</w:t>
      </w:r>
      <w:r w:rsidRPr="00AF573A">
        <w:rPr>
          <w:sz w:val="20"/>
          <w:szCs w:val="20"/>
        </w:rPr>
        <w:t xml:space="preserve">, </w:t>
      </w:r>
      <w:r w:rsidRPr="00AF573A">
        <w:rPr>
          <w:i/>
          <w:iCs/>
          <w:sz w:val="20"/>
          <w:szCs w:val="20"/>
        </w:rPr>
        <w:t>49</w:t>
      </w:r>
      <w:r w:rsidRPr="00AF573A">
        <w:rPr>
          <w:i/>
          <w:sz w:val="20"/>
          <w:szCs w:val="20"/>
        </w:rPr>
        <w:t>(3), 467-489.</w:t>
      </w:r>
    </w:p>
    <w:p w14:paraId="1BC74261" w14:textId="77777777" w:rsidR="00C366E5" w:rsidRPr="00AF573A" w:rsidRDefault="00C366E5" w:rsidP="00AF573A">
      <w:pPr>
        <w:pStyle w:val="ab"/>
        <w:spacing w:before="240" w:line="276" w:lineRule="auto"/>
        <w:ind w:left="425" w:hanging="425"/>
        <w:rPr>
          <w:i/>
          <w:sz w:val="20"/>
          <w:szCs w:val="20"/>
        </w:rPr>
      </w:pPr>
      <w:r w:rsidRPr="00AF573A">
        <w:rPr>
          <w:sz w:val="20"/>
          <w:szCs w:val="20"/>
        </w:rPr>
        <w:t xml:space="preserve">Dibrell, C., Craig, J. B., &amp; </w:t>
      </w:r>
      <w:proofErr w:type="spellStart"/>
      <w:r w:rsidRPr="00AF573A">
        <w:rPr>
          <w:sz w:val="20"/>
          <w:szCs w:val="20"/>
        </w:rPr>
        <w:t>Neubaum</w:t>
      </w:r>
      <w:proofErr w:type="spellEnd"/>
      <w:r w:rsidRPr="00AF573A">
        <w:rPr>
          <w:sz w:val="20"/>
          <w:szCs w:val="20"/>
        </w:rPr>
        <w:t xml:space="preserve">, D. O. (2014). Linking the formal strategic planning process, planning flexibility, and innovativeness to firm performance. </w:t>
      </w:r>
      <w:r w:rsidRPr="00AF573A">
        <w:rPr>
          <w:i/>
          <w:iCs/>
          <w:sz w:val="20"/>
          <w:szCs w:val="20"/>
        </w:rPr>
        <w:t>Journal of Business Research</w:t>
      </w:r>
      <w:r w:rsidRPr="00AF573A">
        <w:rPr>
          <w:i/>
          <w:sz w:val="20"/>
          <w:szCs w:val="20"/>
        </w:rPr>
        <w:t xml:space="preserve">, </w:t>
      </w:r>
      <w:r w:rsidRPr="00AF573A">
        <w:rPr>
          <w:i/>
          <w:iCs/>
          <w:sz w:val="20"/>
          <w:szCs w:val="20"/>
        </w:rPr>
        <w:t>67</w:t>
      </w:r>
      <w:r w:rsidRPr="00AF573A">
        <w:rPr>
          <w:i/>
          <w:sz w:val="20"/>
          <w:szCs w:val="20"/>
        </w:rPr>
        <w:t>(9), 2000-2007.</w:t>
      </w:r>
    </w:p>
    <w:p w14:paraId="126E81AA" w14:textId="77777777" w:rsidR="007F2AD2" w:rsidRPr="00AF573A" w:rsidRDefault="007F2AD2" w:rsidP="00AF573A">
      <w:pPr>
        <w:pStyle w:val="ab"/>
        <w:spacing w:before="240" w:after="240" w:line="276" w:lineRule="auto"/>
        <w:ind w:left="426" w:hanging="426"/>
        <w:rPr>
          <w:sz w:val="20"/>
          <w:szCs w:val="20"/>
        </w:rPr>
      </w:pPr>
      <w:proofErr w:type="spellStart"/>
      <w:r w:rsidRPr="00AF573A">
        <w:rPr>
          <w:color w:val="222222"/>
          <w:sz w:val="20"/>
          <w:szCs w:val="20"/>
          <w:shd w:val="clear" w:color="auto" w:fill="FFFFFF"/>
        </w:rPr>
        <w:t>Dismukes</w:t>
      </w:r>
      <w:proofErr w:type="spellEnd"/>
      <w:r w:rsidRPr="00AF573A">
        <w:rPr>
          <w:color w:val="222222"/>
          <w:sz w:val="20"/>
          <w:szCs w:val="20"/>
          <w:shd w:val="clear" w:color="auto" w:fill="FFFFFF"/>
        </w:rPr>
        <w:t xml:space="preserve">, J. P., Bers, J. A., &amp; Sekhar, J. A. (2012). Toward a holistic six-period radical </w:t>
      </w:r>
      <w:r w:rsidRPr="00AF573A">
        <w:rPr>
          <w:sz w:val="20"/>
          <w:szCs w:val="20"/>
          <w:shd w:val="clear" w:color="auto" w:fill="FFFFFF"/>
        </w:rPr>
        <w:t>innovation life cycle model.</w:t>
      </w:r>
      <w:r w:rsidRPr="00AF573A">
        <w:rPr>
          <w:rStyle w:val="apple-converted-space"/>
          <w:sz w:val="20"/>
          <w:szCs w:val="20"/>
          <w:shd w:val="clear" w:color="auto" w:fill="FFFFFF"/>
        </w:rPr>
        <w:t xml:space="preserve"> </w:t>
      </w:r>
      <w:r w:rsidRPr="00AF573A">
        <w:rPr>
          <w:i/>
          <w:iCs/>
          <w:sz w:val="20"/>
          <w:szCs w:val="20"/>
          <w:shd w:val="clear" w:color="auto" w:fill="FFFFFF"/>
        </w:rPr>
        <w:t>International Journal of Innovation and Technology Management</w:t>
      </w:r>
      <w:r w:rsidRPr="00AF573A">
        <w:rPr>
          <w:i/>
          <w:sz w:val="20"/>
          <w:szCs w:val="20"/>
          <w:shd w:val="clear" w:color="auto" w:fill="FFFFFF"/>
        </w:rPr>
        <w:t>,</w:t>
      </w:r>
      <w:r w:rsidRPr="00AF573A">
        <w:rPr>
          <w:rStyle w:val="apple-converted-space"/>
          <w:i/>
          <w:sz w:val="20"/>
          <w:szCs w:val="20"/>
          <w:shd w:val="clear" w:color="auto" w:fill="FFFFFF"/>
        </w:rPr>
        <w:t xml:space="preserve"> </w:t>
      </w:r>
      <w:r w:rsidRPr="00AF573A">
        <w:rPr>
          <w:i/>
          <w:iCs/>
          <w:sz w:val="20"/>
          <w:szCs w:val="20"/>
          <w:shd w:val="clear" w:color="auto" w:fill="FFFFFF"/>
        </w:rPr>
        <w:t>9</w:t>
      </w:r>
      <w:r w:rsidRPr="00AF573A">
        <w:rPr>
          <w:i/>
          <w:sz w:val="20"/>
          <w:szCs w:val="20"/>
          <w:shd w:val="clear" w:color="auto" w:fill="FFFFFF"/>
        </w:rPr>
        <w:t>(01), 1250001.</w:t>
      </w:r>
    </w:p>
    <w:p w14:paraId="347110D4" w14:textId="77777777" w:rsidR="007F2AD2" w:rsidRPr="00AF573A" w:rsidRDefault="007F2AD2" w:rsidP="00AF573A">
      <w:pPr>
        <w:pStyle w:val="ab"/>
        <w:spacing w:before="240" w:after="240" w:line="276" w:lineRule="auto"/>
        <w:ind w:left="426" w:hanging="426"/>
        <w:rPr>
          <w:sz w:val="20"/>
          <w:szCs w:val="20"/>
        </w:rPr>
      </w:pPr>
      <w:r w:rsidRPr="00AF573A">
        <w:rPr>
          <w:sz w:val="20"/>
          <w:szCs w:val="20"/>
        </w:rPr>
        <w:t xml:space="preserve">Drucker, P. F. (1985). </w:t>
      </w:r>
      <w:r w:rsidRPr="00AF573A">
        <w:rPr>
          <w:iCs/>
          <w:sz w:val="20"/>
          <w:szCs w:val="20"/>
        </w:rPr>
        <w:t>Innovation and entrepreneurship practices and principles</w:t>
      </w:r>
      <w:r w:rsidRPr="00AF573A">
        <w:rPr>
          <w:sz w:val="20"/>
          <w:szCs w:val="20"/>
        </w:rPr>
        <w:t xml:space="preserve">. </w:t>
      </w:r>
      <w:r w:rsidRPr="00AF573A">
        <w:rPr>
          <w:i/>
          <w:sz w:val="20"/>
          <w:szCs w:val="20"/>
        </w:rPr>
        <w:t>AMACON</w:t>
      </w:r>
      <w:r w:rsidRPr="00AF573A">
        <w:rPr>
          <w:sz w:val="20"/>
          <w:szCs w:val="20"/>
        </w:rPr>
        <w:t>.</w:t>
      </w:r>
    </w:p>
    <w:p w14:paraId="256CB84F" w14:textId="77777777" w:rsidR="00C366E5" w:rsidRPr="00AF573A" w:rsidRDefault="00C366E5" w:rsidP="00AF573A">
      <w:pPr>
        <w:pStyle w:val="ab"/>
        <w:spacing w:before="240" w:line="276" w:lineRule="auto"/>
        <w:ind w:left="425" w:hanging="425"/>
        <w:rPr>
          <w:i/>
          <w:sz w:val="20"/>
          <w:szCs w:val="20"/>
        </w:rPr>
      </w:pPr>
      <w:r w:rsidRPr="00AF573A">
        <w:rPr>
          <w:sz w:val="20"/>
          <w:szCs w:val="20"/>
        </w:rPr>
        <w:t xml:space="preserve">Drucker, P. (2014). Innovation and entrepreneurship. </w:t>
      </w:r>
      <w:r w:rsidRPr="00AF573A">
        <w:rPr>
          <w:i/>
          <w:sz w:val="20"/>
          <w:szCs w:val="20"/>
        </w:rPr>
        <w:t>Routledge.</w:t>
      </w:r>
    </w:p>
    <w:p w14:paraId="191029F6" w14:textId="15731998" w:rsidR="00C366E5" w:rsidRPr="00AF573A" w:rsidRDefault="00C366E5" w:rsidP="00DA7B91">
      <w:pPr>
        <w:pStyle w:val="ab"/>
        <w:spacing w:before="240" w:line="276" w:lineRule="auto"/>
        <w:ind w:left="425" w:hanging="425"/>
        <w:rPr>
          <w:i/>
          <w:sz w:val="20"/>
          <w:szCs w:val="20"/>
        </w:rPr>
      </w:pPr>
      <w:r w:rsidRPr="00AF573A">
        <w:rPr>
          <w:sz w:val="20"/>
          <w:szCs w:val="20"/>
        </w:rPr>
        <w:t xml:space="preserve">Flak, O., &amp; Grzegorz, G. (2015). Verification of the relationships between the elements of an integrated model of competitiveness of the company. Procedia - </w:t>
      </w:r>
      <w:r w:rsidRPr="00AF573A">
        <w:rPr>
          <w:i/>
          <w:sz w:val="20"/>
          <w:szCs w:val="20"/>
        </w:rPr>
        <w:t>Social and Behavioral Sciences, 207, 608–631. Elsevier B.V. Retrieved</w:t>
      </w:r>
      <w:r w:rsidR="00DA7B91">
        <w:rPr>
          <w:i/>
          <w:sz w:val="20"/>
          <w:szCs w:val="20"/>
        </w:rPr>
        <w:t xml:space="preserve"> </w:t>
      </w:r>
      <w:r w:rsidRPr="00AF573A">
        <w:rPr>
          <w:i/>
          <w:sz w:val="20"/>
          <w:szCs w:val="20"/>
        </w:rPr>
        <w:t>from</w:t>
      </w:r>
      <w:r w:rsidR="00DA7B91">
        <w:rPr>
          <w:i/>
          <w:sz w:val="20"/>
          <w:szCs w:val="20"/>
        </w:rPr>
        <w:t xml:space="preserve"> </w:t>
      </w:r>
      <w:hyperlink r:id="rId24" w:history="1">
        <w:r w:rsidRPr="00A857E5">
          <w:rPr>
            <w:rStyle w:val="a3"/>
            <w:sz w:val="20"/>
            <w:szCs w:val="20"/>
          </w:rPr>
          <w:t>http://dx.doi.org/10.1016/j.sbspro.2015.10.132.</w:t>
        </w:r>
      </w:hyperlink>
    </w:p>
    <w:p w14:paraId="709F6616" w14:textId="06213FEC" w:rsidR="007F2AD2" w:rsidRPr="00AF573A" w:rsidRDefault="007F2AD2" w:rsidP="00AF573A">
      <w:pPr>
        <w:pStyle w:val="References"/>
        <w:widowControl w:val="0"/>
        <w:numPr>
          <w:ilvl w:val="0"/>
          <w:numId w:val="0"/>
        </w:numPr>
        <w:spacing w:before="240" w:afterLines="0" w:after="240" w:line="276" w:lineRule="auto"/>
        <w:ind w:left="360" w:hanging="360"/>
        <w:jc w:val="both"/>
      </w:pPr>
      <w:r w:rsidRPr="00AF573A">
        <w:lastRenderedPageBreak/>
        <w:t xml:space="preserve">Frank Boons, Florian </w:t>
      </w:r>
      <w:proofErr w:type="spellStart"/>
      <w:r w:rsidRPr="00AF573A">
        <w:t>Ludeke</w:t>
      </w:r>
      <w:proofErr w:type="spellEnd"/>
      <w:r w:rsidRPr="00AF573A">
        <w:t xml:space="preserve">-Freund (2013). Business Models for Sustainable Innovation: State-of-the-art and Steps Towards a Research Agenda. </w:t>
      </w:r>
      <w:r w:rsidRPr="00AF573A">
        <w:rPr>
          <w:i/>
        </w:rPr>
        <w:t>Journal of Cleaner Production, Volume 45, pages 9-19</w:t>
      </w:r>
      <w:r w:rsidR="00C366E5" w:rsidRPr="00AF573A">
        <w:rPr>
          <w:i/>
        </w:rPr>
        <w:t>.</w:t>
      </w:r>
    </w:p>
    <w:p w14:paraId="2E1C485D" w14:textId="77777777" w:rsidR="007F2AD2" w:rsidRPr="00AF573A" w:rsidRDefault="007F2AD2" w:rsidP="00AF573A">
      <w:pPr>
        <w:pStyle w:val="ab"/>
        <w:spacing w:before="240" w:after="240" w:line="276" w:lineRule="auto"/>
        <w:ind w:left="426" w:hanging="426"/>
        <w:rPr>
          <w:sz w:val="20"/>
          <w:szCs w:val="20"/>
        </w:rPr>
      </w:pPr>
      <w:proofErr w:type="spellStart"/>
      <w:r w:rsidRPr="00AF573A">
        <w:rPr>
          <w:sz w:val="20"/>
          <w:szCs w:val="20"/>
        </w:rPr>
        <w:t>Gittleson</w:t>
      </w:r>
      <w:proofErr w:type="spellEnd"/>
      <w:r w:rsidRPr="00AF573A">
        <w:rPr>
          <w:sz w:val="20"/>
          <w:szCs w:val="20"/>
        </w:rPr>
        <w:t xml:space="preserve">, K. (2012). Can a company live </w:t>
      </w:r>
      <w:proofErr w:type="gramStart"/>
      <w:r w:rsidRPr="00AF573A">
        <w:rPr>
          <w:sz w:val="20"/>
          <w:szCs w:val="20"/>
        </w:rPr>
        <w:t>forever.</w:t>
      </w:r>
      <w:proofErr w:type="gramEnd"/>
      <w:r w:rsidRPr="00AF573A">
        <w:rPr>
          <w:sz w:val="20"/>
          <w:szCs w:val="20"/>
        </w:rPr>
        <w:t xml:space="preserve"> </w:t>
      </w:r>
      <w:r w:rsidRPr="00AF573A">
        <w:rPr>
          <w:i/>
          <w:iCs/>
          <w:sz w:val="20"/>
          <w:szCs w:val="20"/>
        </w:rPr>
        <w:t>BBC News</w:t>
      </w:r>
      <w:r w:rsidRPr="00AF573A">
        <w:rPr>
          <w:sz w:val="20"/>
          <w:szCs w:val="20"/>
        </w:rPr>
        <w:t>.</w:t>
      </w:r>
    </w:p>
    <w:p w14:paraId="3888B606" w14:textId="77777777" w:rsidR="007F2AD2" w:rsidRPr="00AF573A" w:rsidRDefault="007F2AD2" w:rsidP="00AF573A">
      <w:pPr>
        <w:spacing w:before="240" w:after="240" w:line="276" w:lineRule="auto"/>
        <w:ind w:left="426" w:hanging="426"/>
        <w:rPr>
          <w:rFonts w:eastAsia="Times New Roman"/>
          <w:i/>
          <w:lang w:val="pt-PT" w:eastAsia="en-US"/>
        </w:rPr>
      </w:pPr>
      <w:r w:rsidRPr="00AF573A">
        <w:t xml:space="preserve">Hamel, G., &amp; </w:t>
      </w:r>
      <w:proofErr w:type="spellStart"/>
      <w:r w:rsidRPr="00AF573A">
        <w:t>Valikangas</w:t>
      </w:r>
      <w:proofErr w:type="spellEnd"/>
      <w:r w:rsidRPr="00AF573A">
        <w:t xml:space="preserve">, L. (2003). The quest for resilience. </w:t>
      </w:r>
      <w:r w:rsidRPr="00AF573A">
        <w:rPr>
          <w:i/>
          <w:iCs/>
          <w:lang w:val="pt-PT"/>
        </w:rPr>
        <w:t>Harvard business review</w:t>
      </w:r>
      <w:r w:rsidRPr="00AF573A">
        <w:rPr>
          <w:lang w:val="pt-PT"/>
        </w:rPr>
        <w:t xml:space="preserve">, </w:t>
      </w:r>
      <w:r w:rsidRPr="00AF573A">
        <w:rPr>
          <w:i/>
          <w:iCs/>
          <w:lang w:val="pt-PT"/>
        </w:rPr>
        <w:t>81</w:t>
      </w:r>
      <w:r w:rsidRPr="00AF573A">
        <w:rPr>
          <w:lang w:val="pt-PT"/>
        </w:rPr>
        <w:t>(9</w:t>
      </w:r>
      <w:r w:rsidRPr="00AF573A">
        <w:rPr>
          <w:i/>
          <w:lang w:val="pt-PT"/>
        </w:rPr>
        <w:t>), 52-65.</w:t>
      </w:r>
    </w:p>
    <w:p w14:paraId="6FBBE835" w14:textId="62A5BF6F" w:rsidR="007F2AD2" w:rsidRPr="00AF573A" w:rsidRDefault="007F2AD2" w:rsidP="00AF573A">
      <w:pPr>
        <w:pStyle w:val="References"/>
        <w:widowControl w:val="0"/>
        <w:numPr>
          <w:ilvl w:val="0"/>
          <w:numId w:val="0"/>
        </w:numPr>
        <w:spacing w:before="240" w:afterLines="0" w:after="240" w:line="276" w:lineRule="auto"/>
        <w:ind w:left="360" w:hanging="360"/>
        <w:jc w:val="both"/>
        <w:rPr>
          <w:rFonts w:ascii="Calibri" w:hAnsi="Calibri" w:cs="Calibri"/>
          <w:i/>
        </w:rPr>
      </w:pPr>
      <w:r w:rsidRPr="00AF573A">
        <w:rPr>
          <w:lang w:val="pt-PT"/>
        </w:rPr>
        <w:t xml:space="preserve">Helena Carvalho, Susana G. Azevedo, V. Cruz–Machado (2013). </w:t>
      </w:r>
      <w:r w:rsidRPr="00AF573A">
        <w:t>An Innovative Agile and Resilient Index for the Automotive Supply Chain</w:t>
      </w:r>
      <w:r w:rsidR="00C366E5" w:rsidRPr="00AF573A">
        <w:t xml:space="preserve">. </w:t>
      </w:r>
      <w:r w:rsidRPr="00AF573A">
        <w:rPr>
          <w:i/>
        </w:rPr>
        <w:t xml:space="preserve">International Journal of Agile Systems and Management - </w:t>
      </w:r>
      <w:proofErr w:type="spellStart"/>
      <w:r w:rsidRPr="00AF573A">
        <w:rPr>
          <w:i/>
        </w:rPr>
        <w:t>Indersc</w:t>
      </w:r>
      <w:r w:rsidR="00C366E5" w:rsidRPr="00AF573A">
        <w:rPr>
          <w:i/>
        </w:rPr>
        <w:t>ience</w:t>
      </w:r>
      <w:proofErr w:type="spellEnd"/>
      <w:r w:rsidR="00C366E5" w:rsidRPr="00AF573A">
        <w:rPr>
          <w:i/>
        </w:rPr>
        <w:t xml:space="preserve"> Publishers, Vol. 6, Nº. 3.</w:t>
      </w:r>
    </w:p>
    <w:p w14:paraId="16C825E7" w14:textId="2B707C3D" w:rsidR="007F2AD2" w:rsidRPr="00AF573A" w:rsidRDefault="007F2AD2" w:rsidP="00AF573A">
      <w:pPr>
        <w:pStyle w:val="References"/>
        <w:widowControl w:val="0"/>
        <w:numPr>
          <w:ilvl w:val="0"/>
          <w:numId w:val="0"/>
        </w:numPr>
        <w:spacing w:before="240" w:afterLines="0" w:after="240" w:line="276" w:lineRule="auto"/>
        <w:ind w:left="360" w:hanging="360"/>
        <w:jc w:val="both"/>
        <w:rPr>
          <w:rFonts w:ascii="Calibri" w:hAnsi="Calibri" w:cs="Calibri"/>
          <w:i/>
        </w:rPr>
      </w:pPr>
      <w:bookmarkStart w:id="1" w:name="_Ref17386032"/>
      <w:r w:rsidRPr="00AF573A">
        <w:rPr>
          <w:lang w:val="pt-PT"/>
        </w:rPr>
        <w:t xml:space="preserve">Helena Carvalho, V. Cruz–Machado (2013). </w:t>
      </w:r>
      <w:r w:rsidRPr="00AF573A">
        <w:t xml:space="preserve">Modeling Resilience in Supply Chain. </w:t>
      </w:r>
      <w:r w:rsidRPr="00AF573A">
        <w:rPr>
          <w:i/>
        </w:rPr>
        <w:t>Doctoral</w:t>
      </w:r>
      <w:r w:rsidR="00C366E5" w:rsidRPr="00AF573A">
        <w:rPr>
          <w:i/>
        </w:rPr>
        <w:t xml:space="preserve"> Dissertation, UNL/ FCT.</w:t>
      </w:r>
    </w:p>
    <w:p w14:paraId="1762D115" w14:textId="77777777" w:rsidR="007F2AD2" w:rsidRPr="00AF573A" w:rsidRDefault="007F2AD2" w:rsidP="00AF573A">
      <w:pPr>
        <w:pStyle w:val="ab"/>
        <w:spacing w:before="240" w:after="240" w:line="276" w:lineRule="auto"/>
        <w:ind w:left="426" w:hanging="426"/>
        <w:rPr>
          <w:sz w:val="20"/>
          <w:szCs w:val="20"/>
        </w:rPr>
      </w:pPr>
      <w:r w:rsidRPr="00AF573A">
        <w:rPr>
          <w:sz w:val="20"/>
          <w:szCs w:val="20"/>
        </w:rPr>
        <w:t xml:space="preserve">Hubbard, G. (2009). Measuring organizational performance: beyond the triple bottom line. </w:t>
      </w:r>
      <w:r w:rsidRPr="00AF573A">
        <w:rPr>
          <w:i/>
          <w:iCs/>
          <w:sz w:val="20"/>
          <w:szCs w:val="20"/>
        </w:rPr>
        <w:t>Business Strategy and the Environment</w:t>
      </w:r>
      <w:r w:rsidRPr="00AF573A">
        <w:rPr>
          <w:sz w:val="20"/>
          <w:szCs w:val="20"/>
        </w:rPr>
        <w:t xml:space="preserve">, </w:t>
      </w:r>
      <w:r w:rsidRPr="00AF573A">
        <w:rPr>
          <w:i/>
          <w:iCs/>
          <w:sz w:val="20"/>
          <w:szCs w:val="20"/>
        </w:rPr>
        <w:t>18</w:t>
      </w:r>
      <w:r w:rsidRPr="00AF573A">
        <w:rPr>
          <w:sz w:val="20"/>
          <w:szCs w:val="20"/>
        </w:rPr>
        <w:t xml:space="preserve">(3), </w:t>
      </w:r>
      <w:r w:rsidRPr="00AF573A">
        <w:rPr>
          <w:i/>
          <w:sz w:val="20"/>
          <w:szCs w:val="20"/>
        </w:rPr>
        <w:t>177-191.</w:t>
      </w:r>
    </w:p>
    <w:p w14:paraId="44FBD504" w14:textId="155AF0AD"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r w:rsidRPr="00AF573A">
        <w:t xml:space="preserve">J </w:t>
      </w:r>
      <w:proofErr w:type="spellStart"/>
      <w:r w:rsidRPr="00AF573A">
        <w:t>Mairesse</w:t>
      </w:r>
      <w:proofErr w:type="spellEnd"/>
      <w:r w:rsidRPr="00AF573A">
        <w:t xml:space="preserve">, P Mohnen (2002). Accounting for Innovation and Measuring Innovativeness: </w:t>
      </w:r>
      <w:proofErr w:type="gramStart"/>
      <w:r w:rsidRPr="00AF573A">
        <w:t>an</w:t>
      </w:r>
      <w:proofErr w:type="gramEnd"/>
      <w:r w:rsidRPr="00AF573A">
        <w:t xml:space="preserve"> Illustrative framework and an Application. </w:t>
      </w:r>
      <w:r w:rsidRPr="00AF573A">
        <w:rPr>
          <w:i/>
        </w:rPr>
        <w:t>American Economic Review, 92, 226-231</w:t>
      </w:r>
      <w:r w:rsidR="00C366E5" w:rsidRPr="00AF573A">
        <w:rPr>
          <w:i/>
        </w:rPr>
        <w:t>.</w:t>
      </w:r>
    </w:p>
    <w:p w14:paraId="0C27D1C0" w14:textId="5CCFDF62" w:rsidR="007F2AD2" w:rsidRPr="00AF573A" w:rsidRDefault="00DF33FD" w:rsidP="00AF573A">
      <w:pPr>
        <w:pStyle w:val="References"/>
        <w:widowControl w:val="0"/>
        <w:numPr>
          <w:ilvl w:val="0"/>
          <w:numId w:val="0"/>
        </w:numPr>
        <w:spacing w:before="240" w:afterLines="0" w:after="240" w:line="276" w:lineRule="auto"/>
        <w:ind w:left="360" w:hanging="360"/>
        <w:jc w:val="both"/>
        <w:rPr>
          <w:rFonts w:ascii="Calibri" w:hAnsi="Calibri" w:cs="Calibri"/>
          <w:i/>
        </w:rPr>
      </w:pPr>
      <w:hyperlink r:id="rId25" w:history="1">
        <w:r w:rsidR="007F2AD2" w:rsidRPr="00AF573A">
          <w:rPr>
            <w:rStyle w:val="a3"/>
            <w:color w:val="auto"/>
            <w:u w:val="none"/>
          </w:rPr>
          <w:t>Jay Barney</w:t>
        </w:r>
      </w:hyperlink>
      <w:r w:rsidR="007F2AD2" w:rsidRPr="00AF573A">
        <w:rPr>
          <w:rStyle w:val="name"/>
        </w:rPr>
        <w:t xml:space="preserve"> (</w:t>
      </w:r>
      <w:r w:rsidR="007F2AD2" w:rsidRPr="00AF573A">
        <w:t>1991).</w:t>
      </w:r>
      <w:r w:rsidR="007F2AD2" w:rsidRPr="00AF573A">
        <w:rPr>
          <w:rStyle w:val="name"/>
          <w:i/>
        </w:rPr>
        <w:t xml:space="preserve"> </w:t>
      </w:r>
      <w:r w:rsidR="007F2AD2" w:rsidRPr="00AF573A">
        <w:t xml:space="preserve">Firm Resources and Sustained Competitive Advantage. </w:t>
      </w:r>
      <w:r w:rsidR="007F2AD2" w:rsidRPr="00AF573A">
        <w:rPr>
          <w:i/>
        </w:rPr>
        <w:t>Journal of Management, Vol. 17, Nº1, pages 99-120</w:t>
      </w:r>
      <w:r w:rsidR="00C366E5" w:rsidRPr="00AF573A">
        <w:rPr>
          <w:i/>
        </w:rPr>
        <w:t>.</w:t>
      </w:r>
    </w:p>
    <w:p w14:paraId="6EA65750" w14:textId="2DB997D5" w:rsidR="007F2AD2" w:rsidRPr="00AF573A" w:rsidRDefault="007F2AD2" w:rsidP="00AF573A">
      <w:pPr>
        <w:pStyle w:val="References"/>
        <w:widowControl w:val="0"/>
        <w:numPr>
          <w:ilvl w:val="0"/>
          <w:numId w:val="0"/>
        </w:numPr>
        <w:spacing w:before="240" w:afterLines="0" w:after="240" w:line="276" w:lineRule="auto"/>
        <w:ind w:left="360" w:hanging="360"/>
        <w:jc w:val="both"/>
        <w:rPr>
          <w:rFonts w:ascii="Calibri" w:hAnsi="Calibri" w:cs="Calibri"/>
        </w:rPr>
      </w:pPr>
      <w:r w:rsidRPr="00AF573A">
        <w:t>John Cantwell (2003).</w:t>
      </w:r>
      <w:r w:rsidRPr="00AF573A">
        <w:rPr>
          <w:i/>
        </w:rPr>
        <w:t xml:space="preserve"> </w:t>
      </w:r>
      <w:r w:rsidRPr="00AF573A">
        <w:t xml:space="preserve">Innovation and Competitiveness. </w:t>
      </w:r>
      <w:r w:rsidRPr="00AF573A">
        <w:rPr>
          <w:i/>
        </w:rPr>
        <w:t>Handbook of Innovation, Chapter 21, Oxford University Press</w:t>
      </w:r>
      <w:r w:rsidR="00C366E5" w:rsidRPr="00AF573A">
        <w:rPr>
          <w:i/>
        </w:rPr>
        <w:t>.</w:t>
      </w:r>
    </w:p>
    <w:p w14:paraId="7E708A79" w14:textId="44028911"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proofErr w:type="spellStart"/>
      <w:r w:rsidRPr="00AF573A">
        <w:t>Jussi</w:t>
      </w:r>
      <w:proofErr w:type="spellEnd"/>
      <w:r w:rsidRPr="00AF573A">
        <w:t xml:space="preserve"> </w:t>
      </w:r>
      <w:proofErr w:type="spellStart"/>
      <w:r w:rsidRPr="00AF573A">
        <w:t>Lehtinen</w:t>
      </w:r>
      <w:proofErr w:type="spellEnd"/>
      <w:r w:rsidRPr="00AF573A">
        <w:t xml:space="preserve">, </w:t>
      </w:r>
      <w:proofErr w:type="spellStart"/>
      <w:r w:rsidRPr="00AF573A">
        <w:t>Tuomas</w:t>
      </w:r>
      <w:proofErr w:type="spellEnd"/>
      <w:r w:rsidRPr="00AF573A">
        <w:t xml:space="preserve"> </w:t>
      </w:r>
      <w:proofErr w:type="spellStart"/>
      <w:r w:rsidRPr="00AF573A">
        <w:t>Ahola</w:t>
      </w:r>
      <w:proofErr w:type="spellEnd"/>
      <w:r w:rsidRPr="00AF573A">
        <w:t xml:space="preserve"> (2010). Is Performance Measurement Suitable for an Extended </w:t>
      </w:r>
      <w:proofErr w:type="gramStart"/>
      <w:r w:rsidRPr="00AF573A">
        <w:t>Enterprise?.</w:t>
      </w:r>
      <w:proofErr w:type="gramEnd"/>
      <w:r w:rsidRPr="00AF573A">
        <w:t xml:space="preserve"> </w:t>
      </w:r>
      <w:r w:rsidRPr="00AF573A">
        <w:rPr>
          <w:i/>
        </w:rPr>
        <w:t>International Journal of Operations &amp; Production Management, Volume 30, Issue 2, pages 181-204</w:t>
      </w:r>
      <w:r w:rsidR="00C366E5" w:rsidRPr="00AF573A">
        <w:rPr>
          <w:i/>
        </w:rPr>
        <w:t>.</w:t>
      </w:r>
    </w:p>
    <w:p w14:paraId="3E7D523F" w14:textId="30511DFB"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r w:rsidRPr="00AF573A">
        <w:t xml:space="preserve">Keld </w:t>
      </w:r>
      <w:proofErr w:type="spellStart"/>
      <w:r w:rsidRPr="00AF573A">
        <w:t>Laursen</w:t>
      </w:r>
      <w:proofErr w:type="spellEnd"/>
      <w:r w:rsidRPr="00AF573A">
        <w:t xml:space="preserve">, Ammon Salter (2006). Open for Innovation: The Role of Openness in Explaining Innovation Performance Among U.K. Manufacturing Firms. </w:t>
      </w:r>
      <w:r w:rsidRPr="00AF573A">
        <w:rPr>
          <w:i/>
        </w:rPr>
        <w:t>Strategic Management Journal, 27: 131-150</w:t>
      </w:r>
      <w:r w:rsidR="00C366E5" w:rsidRPr="00AF573A">
        <w:rPr>
          <w:i/>
        </w:rPr>
        <w:t>.</w:t>
      </w:r>
    </w:p>
    <w:p w14:paraId="68C91253" w14:textId="77777777" w:rsidR="007F2AD2" w:rsidRPr="00AF573A" w:rsidRDefault="007F2AD2" w:rsidP="00AF573A">
      <w:pPr>
        <w:spacing w:before="240" w:after="240" w:line="276" w:lineRule="auto"/>
        <w:ind w:left="426" w:hanging="426"/>
        <w:rPr>
          <w:rFonts w:eastAsia="Times New Roman"/>
          <w:i/>
          <w:lang w:eastAsia="en-US"/>
        </w:rPr>
      </w:pPr>
      <w:proofErr w:type="spellStart"/>
      <w:r w:rsidRPr="00AF573A">
        <w:rPr>
          <w:rFonts w:eastAsia="Times New Roman"/>
          <w:lang w:eastAsia="en-US"/>
        </w:rPr>
        <w:t>Lendel</w:t>
      </w:r>
      <w:proofErr w:type="spellEnd"/>
      <w:r w:rsidRPr="00AF573A">
        <w:rPr>
          <w:rFonts w:eastAsia="Times New Roman"/>
          <w:lang w:eastAsia="en-US"/>
        </w:rPr>
        <w:t xml:space="preserve">, V., &amp; Varmus, M. (2011). Creation and implementation of the innovation strategy in the enterprise. </w:t>
      </w:r>
      <w:r w:rsidRPr="00AF573A">
        <w:rPr>
          <w:rFonts w:eastAsia="Times New Roman"/>
          <w:i/>
          <w:iCs/>
          <w:lang w:eastAsia="en-US"/>
        </w:rPr>
        <w:t>Economics and management</w:t>
      </w:r>
      <w:r w:rsidRPr="00AF573A">
        <w:rPr>
          <w:rFonts w:eastAsia="Times New Roman"/>
          <w:i/>
          <w:lang w:eastAsia="en-US"/>
        </w:rPr>
        <w:t xml:space="preserve">, </w:t>
      </w:r>
      <w:r w:rsidRPr="00AF573A">
        <w:rPr>
          <w:rFonts w:eastAsia="Times New Roman"/>
          <w:i/>
          <w:iCs/>
          <w:lang w:eastAsia="en-US"/>
        </w:rPr>
        <w:t>16</w:t>
      </w:r>
      <w:r w:rsidRPr="00AF573A">
        <w:rPr>
          <w:rFonts w:eastAsia="Times New Roman"/>
          <w:i/>
          <w:lang w:eastAsia="en-US"/>
        </w:rPr>
        <w:t>, 819-825.</w:t>
      </w:r>
    </w:p>
    <w:p w14:paraId="04D0F962" w14:textId="77777777" w:rsidR="007F2AD2" w:rsidRPr="00AF573A" w:rsidRDefault="007F2AD2" w:rsidP="00AF573A">
      <w:pPr>
        <w:spacing w:before="240" w:after="240" w:line="276" w:lineRule="auto"/>
        <w:ind w:left="426" w:hanging="426"/>
        <w:rPr>
          <w:rFonts w:eastAsia="Times New Roman"/>
          <w:i/>
          <w:lang w:eastAsia="en-US"/>
        </w:rPr>
      </w:pPr>
      <w:r w:rsidRPr="00AF573A">
        <w:rPr>
          <w:rFonts w:eastAsia="Times New Roman"/>
          <w:lang w:eastAsia="en-US"/>
        </w:rPr>
        <w:t xml:space="preserve">McManus, S., Seville, E., </w:t>
      </w:r>
      <w:proofErr w:type="spellStart"/>
      <w:r w:rsidRPr="00AF573A">
        <w:rPr>
          <w:rFonts w:eastAsia="Times New Roman"/>
          <w:lang w:eastAsia="en-US"/>
        </w:rPr>
        <w:t>Brunsdon</w:t>
      </w:r>
      <w:proofErr w:type="spellEnd"/>
      <w:r w:rsidRPr="00AF573A">
        <w:rPr>
          <w:rFonts w:eastAsia="Times New Roman"/>
          <w:lang w:eastAsia="en-US"/>
        </w:rPr>
        <w:t xml:space="preserve">, D., &amp; Vargo, J. (2007). </w:t>
      </w:r>
      <w:r w:rsidRPr="00AF573A">
        <w:rPr>
          <w:rFonts w:eastAsia="Times New Roman"/>
          <w:iCs/>
          <w:lang w:eastAsia="en-US"/>
        </w:rPr>
        <w:t xml:space="preserve">Resilience management: a framework for assessing and improving the resilience of </w:t>
      </w:r>
      <w:proofErr w:type="spellStart"/>
      <w:r w:rsidRPr="00AF573A">
        <w:rPr>
          <w:rFonts w:eastAsia="Times New Roman"/>
          <w:iCs/>
          <w:lang w:eastAsia="en-US"/>
        </w:rPr>
        <w:t>organisations</w:t>
      </w:r>
      <w:proofErr w:type="spellEnd"/>
      <w:r w:rsidRPr="00AF573A">
        <w:rPr>
          <w:rFonts w:eastAsia="Times New Roman"/>
          <w:lang w:eastAsia="en-US"/>
        </w:rPr>
        <w:t xml:space="preserve">. </w:t>
      </w:r>
      <w:r w:rsidRPr="00AF573A">
        <w:rPr>
          <w:rFonts w:eastAsia="Times New Roman"/>
          <w:i/>
          <w:lang w:eastAsia="en-US"/>
        </w:rPr>
        <w:t xml:space="preserve">Resilient </w:t>
      </w:r>
      <w:proofErr w:type="spellStart"/>
      <w:r w:rsidRPr="00AF573A">
        <w:rPr>
          <w:rFonts w:eastAsia="Times New Roman"/>
          <w:i/>
          <w:lang w:eastAsia="en-US"/>
        </w:rPr>
        <w:t>organisations</w:t>
      </w:r>
      <w:proofErr w:type="spellEnd"/>
      <w:r w:rsidRPr="00AF573A">
        <w:rPr>
          <w:rFonts w:eastAsia="Times New Roman"/>
          <w:i/>
          <w:lang w:eastAsia="en-US"/>
        </w:rPr>
        <w:t xml:space="preserve"> research report.</w:t>
      </w:r>
    </w:p>
    <w:p w14:paraId="5FFBE869" w14:textId="32F7E0A1"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r w:rsidRPr="00AF573A">
        <w:t>Michael E. Porter (1983). Industrial organization and the evolution of concepts for strategic planning: The new learning.</w:t>
      </w:r>
      <w:r w:rsidRPr="00AF573A">
        <w:rPr>
          <w:i/>
        </w:rPr>
        <w:t xml:space="preserve"> Managerial and Decision Economics, </w:t>
      </w:r>
      <w:hyperlink r:id="rId26" w:history="1">
        <w:r w:rsidRPr="00AF573A">
          <w:rPr>
            <w:i/>
          </w:rPr>
          <w:t xml:space="preserve">Vol. 4, Issue 3, </w:t>
        </w:r>
      </w:hyperlink>
      <w:r w:rsidRPr="00AF573A">
        <w:rPr>
          <w:i/>
        </w:rPr>
        <w:t>pages 172–180</w:t>
      </w:r>
      <w:r w:rsidR="00C366E5" w:rsidRPr="00AF573A">
        <w:rPr>
          <w:i/>
        </w:rPr>
        <w:t>.</w:t>
      </w:r>
    </w:p>
    <w:bookmarkEnd w:id="1"/>
    <w:p w14:paraId="5E0FECBE" w14:textId="6A714E09" w:rsidR="007F2AD2" w:rsidRPr="00AF573A" w:rsidRDefault="007F2AD2" w:rsidP="00AF573A">
      <w:pPr>
        <w:pStyle w:val="References"/>
        <w:widowControl w:val="0"/>
        <w:numPr>
          <w:ilvl w:val="0"/>
          <w:numId w:val="0"/>
        </w:numPr>
        <w:spacing w:before="240" w:afterLines="0" w:after="240" w:line="276" w:lineRule="auto"/>
        <w:ind w:left="360" w:hanging="360"/>
        <w:jc w:val="both"/>
      </w:pPr>
      <w:r w:rsidRPr="00AF573A">
        <w:fldChar w:fldCharType="begin"/>
      </w:r>
      <w:r w:rsidRPr="00AF573A">
        <w:instrText xml:space="preserve"> HYPERLINK "http://scholar.google.pt/citations?user=g9WIbh0AAAAJ&amp;hl=en&amp;oi=sra" </w:instrText>
      </w:r>
      <w:r w:rsidRPr="00AF573A">
        <w:fldChar w:fldCharType="separate"/>
      </w:r>
      <w:r w:rsidRPr="00AF573A">
        <w:t>Michael E. Porter</w:t>
      </w:r>
      <w:r w:rsidRPr="00AF573A">
        <w:fldChar w:fldCharType="end"/>
      </w:r>
      <w:r w:rsidRPr="00AF573A">
        <w:t xml:space="preserve"> (2008). </w:t>
      </w:r>
      <w:hyperlink r:id="rId27" w:history="1">
        <w:r w:rsidRPr="00AF573A">
          <w:t>Competitive advantage: Creating and sustaining superior performance</w:t>
        </w:r>
      </w:hyperlink>
      <w:r w:rsidRPr="00AF573A">
        <w:t xml:space="preserve">. </w:t>
      </w:r>
      <w:r w:rsidRPr="00AF573A">
        <w:rPr>
          <w:i/>
        </w:rPr>
        <w:t>Google Books</w:t>
      </w:r>
      <w:r w:rsidR="00C366E5" w:rsidRPr="00AF573A">
        <w:rPr>
          <w:i/>
        </w:rPr>
        <w:t>.</w:t>
      </w:r>
    </w:p>
    <w:p w14:paraId="23FA24BE" w14:textId="17CBAF66"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r w:rsidRPr="00AF573A">
        <w:t xml:space="preserve">Monica Sharma, Rambabu </w:t>
      </w:r>
      <w:proofErr w:type="spellStart"/>
      <w:r w:rsidRPr="00AF573A">
        <w:t>Kodali</w:t>
      </w:r>
      <w:proofErr w:type="spellEnd"/>
      <w:r w:rsidRPr="00AF573A">
        <w:t xml:space="preserve"> (2008). Development of a framework for manufacturing excellence. </w:t>
      </w:r>
      <w:r w:rsidRPr="00AF573A">
        <w:rPr>
          <w:i/>
        </w:rPr>
        <w:t xml:space="preserve">Measuring Business Excellence, Vol. 12 </w:t>
      </w:r>
      <w:proofErr w:type="spellStart"/>
      <w:r w:rsidRPr="00AF573A">
        <w:rPr>
          <w:i/>
        </w:rPr>
        <w:t>Iss</w:t>
      </w:r>
      <w:proofErr w:type="spellEnd"/>
      <w:r w:rsidRPr="00AF573A">
        <w:rPr>
          <w:i/>
        </w:rPr>
        <w:t>: 4, pp.50 – 66</w:t>
      </w:r>
      <w:r w:rsidR="00C366E5" w:rsidRPr="00AF573A">
        <w:rPr>
          <w:i/>
        </w:rPr>
        <w:t>.</w:t>
      </w:r>
    </w:p>
    <w:p w14:paraId="4E606031" w14:textId="77777777" w:rsidR="007F2AD2" w:rsidRPr="00AF573A" w:rsidRDefault="007F2AD2" w:rsidP="00AF573A">
      <w:pPr>
        <w:pStyle w:val="ab"/>
        <w:spacing w:before="240" w:after="240" w:line="276" w:lineRule="auto"/>
        <w:ind w:left="426" w:hanging="426"/>
        <w:rPr>
          <w:sz w:val="20"/>
          <w:szCs w:val="20"/>
        </w:rPr>
      </w:pPr>
      <w:r w:rsidRPr="00AF573A">
        <w:rPr>
          <w:sz w:val="20"/>
          <w:szCs w:val="20"/>
        </w:rPr>
        <w:t xml:space="preserve">Norman, W., &amp; MacDonald, C. (2004). Getting to the bottom of “triple bottom line”. </w:t>
      </w:r>
      <w:r w:rsidRPr="00AF573A">
        <w:rPr>
          <w:i/>
          <w:iCs/>
          <w:sz w:val="20"/>
          <w:szCs w:val="20"/>
        </w:rPr>
        <w:t>Business Ethics Quarterly</w:t>
      </w:r>
      <w:r w:rsidRPr="00AF573A">
        <w:rPr>
          <w:sz w:val="20"/>
          <w:szCs w:val="20"/>
        </w:rPr>
        <w:t xml:space="preserve">, </w:t>
      </w:r>
      <w:r w:rsidRPr="00AF573A">
        <w:rPr>
          <w:i/>
          <w:iCs/>
          <w:sz w:val="20"/>
          <w:szCs w:val="20"/>
        </w:rPr>
        <w:t>14</w:t>
      </w:r>
      <w:r w:rsidRPr="00AF573A">
        <w:rPr>
          <w:sz w:val="20"/>
          <w:szCs w:val="20"/>
        </w:rPr>
        <w:t>(02), 243-262.</w:t>
      </w:r>
    </w:p>
    <w:p w14:paraId="62572977" w14:textId="77777777"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r w:rsidRPr="00AF573A">
        <w:t xml:space="preserve">Paola </w:t>
      </w:r>
      <w:proofErr w:type="spellStart"/>
      <w:r w:rsidRPr="00AF573A">
        <w:t>Cocca</w:t>
      </w:r>
      <w:proofErr w:type="spellEnd"/>
      <w:r w:rsidRPr="00AF573A">
        <w:t xml:space="preserve">, Marco Alberti (2010). A Framework to Assess Performance Measurement Systems in SMEs. </w:t>
      </w:r>
      <w:r w:rsidRPr="00AF573A">
        <w:rPr>
          <w:i/>
        </w:rPr>
        <w:t>International Journal of Productivity and Performance Management, Volume 59, Issue 2, pages 186-200</w:t>
      </w:r>
    </w:p>
    <w:p w14:paraId="44DEA920" w14:textId="7C14A6C1" w:rsidR="007F2AD2" w:rsidRPr="00AF573A" w:rsidRDefault="007F2AD2" w:rsidP="00AF573A">
      <w:pPr>
        <w:pStyle w:val="References"/>
        <w:widowControl w:val="0"/>
        <w:numPr>
          <w:ilvl w:val="0"/>
          <w:numId w:val="0"/>
        </w:numPr>
        <w:spacing w:before="240" w:afterLines="0" w:after="240" w:line="276" w:lineRule="auto"/>
        <w:ind w:left="360" w:hanging="360"/>
        <w:jc w:val="both"/>
        <w:rPr>
          <w:rFonts w:ascii="Calibri" w:hAnsi="Calibri" w:cs="Calibri"/>
          <w:i/>
        </w:rPr>
      </w:pPr>
      <w:r w:rsidRPr="00AF573A">
        <w:t xml:space="preserve">Per-Arne </w:t>
      </w:r>
      <w:proofErr w:type="spellStart"/>
      <w:r w:rsidRPr="00AF573A">
        <w:t>Wikström</w:t>
      </w:r>
      <w:proofErr w:type="spellEnd"/>
      <w:r w:rsidRPr="00AF573A">
        <w:t xml:space="preserve"> (2010). </w:t>
      </w:r>
      <w:r w:rsidRPr="00AF573A">
        <w:rPr>
          <w:rStyle w:val="maintitle"/>
        </w:rPr>
        <w:t>Sustainability and organizational activities – three approaches.</w:t>
      </w:r>
      <w:r w:rsidRPr="00AF573A">
        <w:rPr>
          <w:rStyle w:val="maintitle"/>
          <w:i/>
        </w:rPr>
        <w:t xml:space="preserve"> </w:t>
      </w:r>
      <w:r w:rsidRPr="00AF573A">
        <w:rPr>
          <w:i/>
        </w:rPr>
        <w:t xml:space="preserve">Strategic Approaches to Sustainability Policy and Management, </w:t>
      </w:r>
      <w:hyperlink r:id="rId28" w:history="1">
        <w:r w:rsidRPr="00AF573A">
          <w:rPr>
            <w:rStyle w:val="a3"/>
            <w:i/>
            <w:color w:val="auto"/>
            <w:u w:val="none"/>
          </w:rPr>
          <w:t xml:space="preserve">Vol. 18, Issue 2, </w:t>
        </w:r>
      </w:hyperlink>
      <w:r w:rsidRPr="00AF573A">
        <w:rPr>
          <w:i/>
        </w:rPr>
        <w:t>pages 99–107</w:t>
      </w:r>
      <w:r w:rsidR="00C366E5" w:rsidRPr="00AF573A">
        <w:rPr>
          <w:i/>
        </w:rPr>
        <w:t>.</w:t>
      </w:r>
    </w:p>
    <w:p w14:paraId="2D0B03DF" w14:textId="3BF79839" w:rsidR="007F2AD2" w:rsidRPr="00AF573A" w:rsidRDefault="007F2AD2" w:rsidP="00AF573A">
      <w:pPr>
        <w:pStyle w:val="ab"/>
        <w:spacing w:before="240" w:after="240" w:line="276" w:lineRule="auto"/>
        <w:ind w:left="426" w:hanging="426"/>
        <w:rPr>
          <w:i/>
          <w:sz w:val="20"/>
          <w:szCs w:val="20"/>
        </w:rPr>
      </w:pPr>
      <w:r w:rsidRPr="00AF573A">
        <w:rPr>
          <w:sz w:val="20"/>
          <w:szCs w:val="20"/>
        </w:rPr>
        <w:t xml:space="preserve">Perry J. Mark (2014). Fortune 500 firms in 1955 vs. 2014. </w:t>
      </w:r>
      <w:hyperlink r:id="rId29" w:history="1">
        <w:r w:rsidRPr="00A857E5">
          <w:rPr>
            <w:rStyle w:val="a3"/>
            <w:sz w:val="20"/>
            <w:szCs w:val="20"/>
          </w:rPr>
          <w:t>www.aei.org/publication/fortune-500-firms-in-1955-vs-2014-89-are-gone-and-were-all-better-off-because-of-that-dynamic-creative-destruction/</w:t>
        </w:r>
      </w:hyperlink>
    </w:p>
    <w:p w14:paraId="1AA05449" w14:textId="3F4E3DFD" w:rsidR="007F2AD2" w:rsidRPr="00AF573A" w:rsidRDefault="007F2AD2" w:rsidP="00AF573A">
      <w:pPr>
        <w:pStyle w:val="References"/>
        <w:widowControl w:val="0"/>
        <w:numPr>
          <w:ilvl w:val="0"/>
          <w:numId w:val="0"/>
        </w:numPr>
        <w:spacing w:before="240" w:afterLines="0" w:after="240" w:line="276" w:lineRule="auto"/>
        <w:ind w:left="360" w:hanging="360"/>
        <w:jc w:val="both"/>
      </w:pPr>
      <w:r w:rsidRPr="00AF573A">
        <w:rPr>
          <w:rStyle w:val="aounit1"/>
        </w:rPr>
        <w:t xml:space="preserve">Rainer </w:t>
      </w:r>
      <w:proofErr w:type="spellStart"/>
      <w:r w:rsidRPr="00AF573A">
        <w:rPr>
          <w:rStyle w:val="aounit1"/>
        </w:rPr>
        <w:t>Feurer</w:t>
      </w:r>
      <w:proofErr w:type="spellEnd"/>
      <w:r w:rsidRPr="00AF573A">
        <w:rPr>
          <w:rStyle w:val="aounit1"/>
        </w:rPr>
        <w:t xml:space="preserve"> and Kazem </w:t>
      </w:r>
      <w:proofErr w:type="spellStart"/>
      <w:r w:rsidRPr="00AF573A">
        <w:rPr>
          <w:rStyle w:val="aounit1"/>
        </w:rPr>
        <w:t>Chaharbaghi</w:t>
      </w:r>
      <w:proofErr w:type="spellEnd"/>
      <w:r w:rsidRPr="00AF573A">
        <w:rPr>
          <w:rStyle w:val="aounit1"/>
        </w:rPr>
        <w:t xml:space="preserve"> (</w:t>
      </w:r>
      <w:r w:rsidRPr="00AF573A">
        <w:t>1994)</w:t>
      </w:r>
      <w:r w:rsidRPr="00AF573A">
        <w:rPr>
          <w:rStyle w:val="aounit1"/>
          <w:i/>
        </w:rPr>
        <w:t xml:space="preserve">. </w:t>
      </w:r>
      <w:r w:rsidRPr="00AF573A">
        <w:rPr>
          <w:rStyle w:val="aounit1"/>
        </w:rPr>
        <w:t xml:space="preserve">Defining </w:t>
      </w:r>
      <w:proofErr w:type="spellStart"/>
      <w:r w:rsidRPr="00AF573A">
        <w:rPr>
          <w:rStyle w:val="aounit1"/>
        </w:rPr>
        <w:t>Competitivenes</w:t>
      </w:r>
      <w:proofErr w:type="spellEnd"/>
      <w:r w:rsidRPr="00AF573A">
        <w:rPr>
          <w:rStyle w:val="aounit1"/>
        </w:rPr>
        <w:t>: A holistic approach.</w:t>
      </w:r>
      <w:r w:rsidRPr="00AF573A">
        <w:rPr>
          <w:rStyle w:val="aounit1"/>
          <w:i/>
        </w:rPr>
        <w:t xml:space="preserve"> </w:t>
      </w:r>
      <w:r w:rsidRPr="00AF573A">
        <w:rPr>
          <w:i/>
        </w:rPr>
        <w:t xml:space="preserve">Management Decision, Vol. 32 </w:t>
      </w:r>
      <w:proofErr w:type="spellStart"/>
      <w:r w:rsidRPr="00AF573A">
        <w:rPr>
          <w:i/>
        </w:rPr>
        <w:t>Iss</w:t>
      </w:r>
      <w:proofErr w:type="spellEnd"/>
      <w:r w:rsidRPr="00AF573A">
        <w:rPr>
          <w:i/>
        </w:rPr>
        <w:t xml:space="preserve">: </w:t>
      </w:r>
      <w:r w:rsidRPr="00AF573A">
        <w:rPr>
          <w:i/>
        </w:rPr>
        <w:lastRenderedPageBreak/>
        <w:t>2, pp.49 – 58</w:t>
      </w:r>
      <w:r w:rsidR="00C366E5" w:rsidRPr="00AF573A">
        <w:rPr>
          <w:i/>
        </w:rPr>
        <w:t>.</w:t>
      </w:r>
    </w:p>
    <w:p w14:paraId="13CE38EF" w14:textId="7D4CE342" w:rsidR="007F2AD2" w:rsidRPr="00AF573A" w:rsidRDefault="007F2AD2" w:rsidP="00AF573A">
      <w:pPr>
        <w:pStyle w:val="References"/>
        <w:widowControl w:val="0"/>
        <w:numPr>
          <w:ilvl w:val="0"/>
          <w:numId w:val="0"/>
        </w:numPr>
        <w:spacing w:before="240" w:afterLines="0" w:after="240" w:line="276" w:lineRule="auto"/>
        <w:ind w:left="360" w:hanging="360"/>
        <w:jc w:val="both"/>
        <w:rPr>
          <w:i/>
        </w:rPr>
      </w:pPr>
      <w:r w:rsidRPr="00AF573A">
        <w:t xml:space="preserve">Rosanna Garcia, Roger </w:t>
      </w:r>
      <w:proofErr w:type="spellStart"/>
      <w:r w:rsidRPr="00AF573A">
        <w:t>Calantone</w:t>
      </w:r>
      <w:proofErr w:type="spellEnd"/>
      <w:r w:rsidRPr="00AF573A">
        <w:t xml:space="preserve"> (2002). A Critical look at </w:t>
      </w:r>
      <w:proofErr w:type="spellStart"/>
      <w:r w:rsidRPr="00AF573A">
        <w:t>Technplogical</w:t>
      </w:r>
      <w:proofErr w:type="spellEnd"/>
      <w:r w:rsidRPr="00AF573A">
        <w:t xml:space="preserve"> Innovation Typology and Innovativeness Terminology: a literature Review.</w:t>
      </w:r>
      <w:r w:rsidRPr="00AF573A">
        <w:rPr>
          <w:i/>
        </w:rPr>
        <w:t xml:space="preserve"> Journal of Product Innovation Management, Volume 19, Issue 2, pages 110-132</w:t>
      </w:r>
      <w:r w:rsidR="00C366E5" w:rsidRPr="00AF573A">
        <w:rPr>
          <w:i/>
        </w:rPr>
        <w:t>.</w:t>
      </w:r>
    </w:p>
    <w:p w14:paraId="5A33BF87" w14:textId="628B21AA" w:rsidR="00512B81" w:rsidRPr="00AF573A" w:rsidRDefault="00512B81" w:rsidP="00AF573A">
      <w:pPr>
        <w:pStyle w:val="ab"/>
        <w:spacing w:before="240" w:line="276" w:lineRule="auto"/>
        <w:ind w:left="425" w:hanging="425"/>
        <w:rPr>
          <w:i/>
          <w:sz w:val="20"/>
          <w:szCs w:val="20"/>
        </w:rPr>
      </w:pPr>
      <w:proofErr w:type="spellStart"/>
      <w:r w:rsidRPr="00AF573A">
        <w:rPr>
          <w:sz w:val="20"/>
          <w:szCs w:val="20"/>
        </w:rPr>
        <w:t>Sauka</w:t>
      </w:r>
      <w:proofErr w:type="spellEnd"/>
      <w:r w:rsidRPr="00AF573A">
        <w:rPr>
          <w:sz w:val="20"/>
          <w:szCs w:val="20"/>
        </w:rPr>
        <w:t xml:space="preserve">, A. (2015). Measuring the competitiveness of Latvian companies, 14, </w:t>
      </w:r>
      <w:r w:rsidRPr="00AF573A">
        <w:rPr>
          <w:i/>
          <w:sz w:val="20"/>
          <w:szCs w:val="20"/>
        </w:rPr>
        <w:t>140–158.</w:t>
      </w:r>
    </w:p>
    <w:p w14:paraId="696AD614" w14:textId="3AFE5707" w:rsidR="007F2AD2" w:rsidRPr="00AF573A" w:rsidRDefault="00DF33FD" w:rsidP="00AF573A">
      <w:pPr>
        <w:pStyle w:val="References"/>
        <w:widowControl w:val="0"/>
        <w:numPr>
          <w:ilvl w:val="0"/>
          <w:numId w:val="0"/>
        </w:numPr>
        <w:spacing w:before="240" w:afterLines="0" w:after="240" w:line="276" w:lineRule="auto"/>
        <w:ind w:left="360" w:hanging="360"/>
        <w:jc w:val="both"/>
        <w:rPr>
          <w:rStyle w:val="slug-pub-date"/>
          <w:i/>
        </w:rPr>
      </w:pPr>
      <w:hyperlink r:id="rId30" w:history="1">
        <w:r w:rsidR="007F2AD2" w:rsidRPr="00AF573A">
          <w:rPr>
            <w:rStyle w:val="a3"/>
            <w:color w:val="auto"/>
            <w:u w:val="none"/>
          </w:rPr>
          <w:t>Stuart L. Hart</w:t>
        </w:r>
      </w:hyperlink>
      <w:r w:rsidR="007F2AD2" w:rsidRPr="00AF573A">
        <w:t xml:space="preserve">, </w:t>
      </w:r>
      <w:hyperlink r:id="rId31" w:history="1">
        <w:r w:rsidR="007F2AD2" w:rsidRPr="00AF573A">
          <w:rPr>
            <w:rStyle w:val="a3"/>
            <w:color w:val="auto"/>
            <w:u w:val="none"/>
          </w:rPr>
          <w:t>Mark B. Milstein</w:t>
        </w:r>
      </w:hyperlink>
      <w:r w:rsidR="007F2AD2" w:rsidRPr="00AF573A">
        <w:rPr>
          <w:rStyle w:val="a3"/>
          <w:color w:val="auto"/>
          <w:u w:val="none"/>
        </w:rPr>
        <w:t xml:space="preserve"> (</w:t>
      </w:r>
      <w:r w:rsidR="007F2AD2" w:rsidRPr="00AF573A">
        <w:rPr>
          <w:rStyle w:val="slug-pub-date"/>
          <w:iCs/>
        </w:rPr>
        <w:t xml:space="preserve">2003). </w:t>
      </w:r>
      <w:r w:rsidR="007F2AD2" w:rsidRPr="00AF573A">
        <w:t>Creating sustainable value</w:t>
      </w:r>
      <w:r w:rsidR="007F2AD2" w:rsidRPr="00AF573A">
        <w:rPr>
          <w:i/>
        </w:rPr>
        <w:t xml:space="preserve">. Academy of Management Perspectives - </w:t>
      </w:r>
      <w:r w:rsidR="007F2AD2" w:rsidRPr="00AF573A">
        <w:rPr>
          <w:rStyle w:val="slug-vol"/>
          <w:i/>
          <w:iCs/>
        </w:rPr>
        <w:t xml:space="preserve">Vol. 17 </w:t>
      </w:r>
      <w:r w:rsidR="007F2AD2" w:rsidRPr="00AF573A">
        <w:rPr>
          <w:rStyle w:val="slug-issue"/>
          <w:i/>
          <w:iCs/>
        </w:rPr>
        <w:t xml:space="preserve">no. 2 </w:t>
      </w:r>
      <w:r w:rsidR="007F2AD2" w:rsidRPr="00AF573A">
        <w:rPr>
          <w:rStyle w:val="slug-pages"/>
          <w:i/>
          <w:iCs/>
        </w:rPr>
        <w:t>56-67</w:t>
      </w:r>
      <w:r w:rsidR="00C366E5" w:rsidRPr="00AF573A">
        <w:rPr>
          <w:rStyle w:val="slug-pages"/>
          <w:i/>
          <w:iCs/>
        </w:rPr>
        <w:t>.</w:t>
      </w:r>
    </w:p>
    <w:p w14:paraId="099C855F" w14:textId="3D429539" w:rsidR="00FA2264" w:rsidRDefault="007F2AD2" w:rsidP="00AF573A">
      <w:pPr>
        <w:pStyle w:val="References"/>
        <w:widowControl w:val="0"/>
        <w:numPr>
          <w:ilvl w:val="0"/>
          <w:numId w:val="0"/>
        </w:numPr>
        <w:spacing w:before="240" w:afterLines="0" w:after="240" w:line="276" w:lineRule="auto"/>
        <w:ind w:left="360" w:hanging="360"/>
        <w:jc w:val="both"/>
        <w:rPr>
          <w:i/>
        </w:rPr>
      </w:pPr>
      <w:r w:rsidRPr="00AF573A">
        <w:t xml:space="preserve">Suzanne </w:t>
      </w:r>
      <w:proofErr w:type="spellStart"/>
      <w:r w:rsidRPr="00AF573A">
        <w:t>Rosselet</w:t>
      </w:r>
      <w:proofErr w:type="spellEnd"/>
      <w:r w:rsidRPr="00AF573A">
        <w:rPr>
          <w:bCs/>
        </w:rPr>
        <w:t xml:space="preserve"> (</w:t>
      </w:r>
      <w:r w:rsidRPr="00AF573A">
        <w:t>2011)</w:t>
      </w:r>
      <w:r w:rsidRPr="00AF573A">
        <w:rPr>
          <w:bCs/>
          <w:i/>
        </w:rPr>
        <w:t xml:space="preserve">. </w:t>
      </w:r>
      <w:r w:rsidRPr="00AF573A">
        <w:rPr>
          <w:bCs/>
        </w:rPr>
        <w:t xml:space="preserve">Leveraging Competitiveness </w:t>
      </w:r>
      <w:proofErr w:type="gramStart"/>
      <w:r w:rsidRPr="00AF573A">
        <w:rPr>
          <w:bCs/>
        </w:rPr>
        <w:t>To</w:t>
      </w:r>
      <w:proofErr w:type="gramEnd"/>
      <w:r w:rsidRPr="00AF573A">
        <w:rPr>
          <w:bCs/>
        </w:rPr>
        <w:t xml:space="preserve"> Wage War Against Short-Termism - </w:t>
      </w:r>
      <w:r w:rsidRPr="00AF573A">
        <w:t>Building The House Of Sustainable Competitiveness.</w:t>
      </w:r>
      <w:r w:rsidRPr="00AF573A">
        <w:rPr>
          <w:i/>
        </w:rPr>
        <w:t xml:space="preserve"> World Competitiveness Center</w:t>
      </w:r>
      <w:r w:rsidR="00C366E5" w:rsidRPr="00AF573A">
        <w:rPr>
          <w:i/>
        </w:rPr>
        <w:t>.</w:t>
      </w:r>
    </w:p>
    <w:p w14:paraId="7E0D249F" w14:textId="6EB2B617" w:rsidR="00DA7B91" w:rsidRDefault="00DA7B91" w:rsidP="00AF573A">
      <w:pPr>
        <w:pStyle w:val="References"/>
        <w:widowControl w:val="0"/>
        <w:numPr>
          <w:ilvl w:val="0"/>
          <w:numId w:val="0"/>
        </w:numPr>
        <w:spacing w:before="240" w:afterLines="0" w:after="240" w:line="276" w:lineRule="auto"/>
        <w:ind w:left="360" w:hanging="360"/>
        <w:jc w:val="both"/>
        <w:rPr>
          <w:i/>
        </w:rPr>
      </w:pPr>
    </w:p>
    <w:p w14:paraId="753192D7" w14:textId="4A759C1E" w:rsidR="00DA7B91" w:rsidRDefault="00DA7B91" w:rsidP="00AF573A">
      <w:pPr>
        <w:pStyle w:val="References"/>
        <w:widowControl w:val="0"/>
        <w:numPr>
          <w:ilvl w:val="0"/>
          <w:numId w:val="0"/>
        </w:numPr>
        <w:spacing w:before="240" w:afterLines="0" w:after="240" w:line="276" w:lineRule="auto"/>
        <w:ind w:left="360" w:hanging="360"/>
        <w:jc w:val="both"/>
        <w:rPr>
          <w:i/>
        </w:rPr>
      </w:pPr>
    </w:p>
    <w:p w14:paraId="383BA886" w14:textId="63BCEA27" w:rsidR="00DA7B91" w:rsidRDefault="00DA7B91" w:rsidP="00AF573A">
      <w:pPr>
        <w:pStyle w:val="References"/>
        <w:widowControl w:val="0"/>
        <w:numPr>
          <w:ilvl w:val="0"/>
          <w:numId w:val="0"/>
        </w:numPr>
        <w:spacing w:before="240" w:afterLines="0" w:after="240" w:line="276" w:lineRule="auto"/>
        <w:ind w:left="360" w:hanging="360"/>
        <w:jc w:val="both"/>
        <w:rPr>
          <w:i/>
        </w:rPr>
      </w:pPr>
    </w:p>
    <w:p w14:paraId="616FD353" w14:textId="1A0B0C58" w:rsidR="00DA7B91" w:rsidRDefault="00DA7B91" w:rsidP="00AF573A">
      <w:pPr>
        <w:pStyle w:val="References"/>
        <w:widowControl w:val="0"/>
        <w:numPr>
          <w:ilvl w:val="0"/>
          <w:numId w:val="0"/>
        </w:numPr>
        <w:spacing w:before="240" w:afterLines="0" w:after="240" w:line="276" w:lineRule="auto"/>
        <w:ind w:left="360" w:hanging="360"/>
        <w:jc w:val="both"/>
        <w:rPr>
          <w:i/>
        </w:rPr>
      </w:pPr>
    </w:p>
    <w:p w14:paraId="34E542BE" w14:textId="5A3E4465" w:rsidR="00DA7B91" w:rsidRDefault="00DA7B91" w:rsidP="00AF573A">
      <w:pPr>
        <w:pStyle w:val="References"/>
        <w:widowControl w:val="0"/>
        <w:numPr>
          <w:ilvl w:val="0"/>
          <w:numId w:val="0"/>
        </w:numPr>
        <w:spacing w:before="240" w:afterLines="0" w:after="240" w:line="276" w:lineRule="auto"/>
        <w:ind w:left="360" w:hanging="360"/>
        <w:jc w:val="both"/>
        <w:rPr>
          <w:i/>
        </w:rPr>
      </w:pPr>
    </w:p>
    <w:p w14:paraId="21D2BA93" w14:textId="2C4C51C0" w:rsidR="00DA7B91" w:rsidRDefault="00DA7B91" w:rsidP="00AF573A">
      <w:pPr>
        <w:pStyle w:val="References"/>
        <w:widowControl w:val="0"/>
        <w:numPr>
          <w:ilvl w:val="0"/>
          <w:numId w:val="0"/>
        </w:numPr>
        <w:spacing w:before="240" w:afterLines="0" w:after="240" w:line="276" w:lineRule="auto"/>
        <w:ind w:left="360" w:hanging="360"/>
        <w:jc w:val="both"/>
        <w:rPr>
          <w:i/>
        </w:rPr>
      </w:pPr>
    </w:p>
    <w:p w14:paraId="06E8FD02" w14:textId="333EE96E" w:rsidR="00DA7B91" w:rsidRDefault="00DA7B91" w:rsidP="00AF573A">
      <w:pPr>
        <w:pStyle w:val="References"/>
        <w:widowControl w:val="0"/>
        <w:numPr>
          <w:ilvl w:val="0"/>
          <w:numId w:val="0"/>
        </w:numPr>
        <w:spacing w:before="240" w:afterLines="0" w:after="240" w:line="276" w:lineRule="auto"/>
        <w:ind w:left="360" w:hanging="360"/>
        <w:jc w:val="both"/>
        <w:rPr>
          <w:i/>
        </w:rPr>
      </w:pPr>
    </w:p>
    <w:p w14:paraId="0F8DE12E" w14:textId="51044860" w:rsidR="00DA7B91" w:rsidRDefault="00DA7B91" w:rsidP="00AF573A">
      <w:pPr>
        <w:pStyle w:val="References"/>
        <w:widowControl w:val="0"/>
        <w:numPr>
          <w:ilvl w:val="0"/>
          <w:numId w:val="0"/>
        </w:numPr>
        <w:spacing w:before="240" w:afterLines="0" w:after="240" w:line="276" w:lineRule="auto"/>
        <w:ind w:left="360" w:hanging="360"/>
        <w:jc w:val="both"/>
        <w:rPr>
          <w:i/>
        </w:rPr>
      </w:pPr>
    </w:p>
    <w:p w14:paraId="2C595A3A" w14:textId="7AE72441" w:rsidR="00DA7B91" w:rsidRDefault="00DA7B91" w:rsidP="00AF573A">
      <w:pPr>
        <w:pStyle w:val="References"/>
        <w:widowControl w:val="0"/>
        <w:numPr>
          <w:ilvl w:val="0"/>
          <w:numId w:val="0"/>
        </w:numPr>
        <w:spacing w:before="240" w:afterLines="0" w:after="240" w:line="276" w:lineRule="auto"/>
        <w:ind w:left="360" w:hanging="360"/>
        <w:jc w:val="both"/>
        <w:rPr>
          <w:i/>
        </w:rPr>
      </w:pPr>
    </w:p>
    <w:p w14:paraId="1066D2DE" w14:textId="77777777" w:rsidR="00DA7B91" w:rsidRPr="00AF573A" w:rsidRDefault="00DA7B91" w:rsidP="00AF573A">
      <w:pPr>
        <w:pStyle w:val="References"/>
        <w:widowControl w:val="0"/>
        <w:numPr>
          <w:ilvl w:val="0"/>
          <w:numId w:val="0"/>
        </w:numPr>
        <w:spacing w:before="240" w:afterLines="0" w:after="240" w:line="276" w:lineRule="auto"/>
        <w:ind w:left="360" w:hanging="360"/>
        <w:jc w:val="both"/>
        <w:rPr>
          <w:i/>
        </w:rPr>
      </w:pPr>
    </w:p>
    <w:p w14:paraId="15E67B93" w14:textId="3B1EA48C" w:rsidR="00DA7B91" w:rsidRPr="007770CE" w:rsidRDefault="00DA7B91" w:rsidP="00DA7B91">
      <w:pPr>
        <w:pStyle w:val="Heading"/>
        <w:spacing w:before="120" w:after="0" w:line="480" w:lineRule="exact"/>
        <w:ind w:firstLine="520"/>
      </w:pPr>
      <w:r w:rsidRPr="007770CE">
        <w:t>AUTHOR</w:t>
      </w:r>
      <w:r>
        <w:t>s</w:t>
      </w:r>
      <w:r w:rsidRPr="007770CE">
        <w:t xml:space="preserve"> BIOGRAPHIES</w:t>
      </w:r>
    </w:p>
    <w:p w14:paraId="4E753369" w14:textId="0E9763DB" w:rsidR="0054391D" w:rsidRPr="00AF573A" w:rsidRDefault="00DA7B91" w:rsidP="00AF573A">
      <w:pPr>
        <w:spacing w:before="120" w:after="240" w:line="276" w:lineRule="auto"/>
        <w:jc w:val="both"/>
        <w:rPr>
          <w:lang w:val="en-GB"/>
        </w:rPr>
      </w:pPr>
      <w:r w:rsidRPr="00AF573A">
        <w:rPr>
          <w:b/>
          <w:noProof/>
          <w:lang w:eastAsia="pt-PT"/>
        </w:rPr>
        <w:drawing>
          <wp:anchor distT="0" distB="0" distL="114300" distR="114300" simplePos="0" relativeHeight="251661312" behindDoc="0" locked="0" layoutInCell="1" allowOverlap="1" wp14:anchorId="04FF8254" wp14:editId="56F303BD">
            <wp:simplePos x="0" y="0"/>
            <wp:positionH relativeFrom="margin">
              <wp:posOffset>2920365</wp:posOffset>
            </wp:positionH>
            <wp:positionV relativeFrom="margin">
              <wp:posOffset>427355</wp:posOffset>
            </wp:positionV>
            <wp:extent cx="719455" cy="918845"/>
            <wp:effectExtent l="0" t="0" r="4445" b="0"/>
            <wp:wrapSquare wrapText="bothSides"/>
            <wp:docPr id="4" name="Imagem 4" descr="D:\Recurso_Humanos\NunoCavaco_F045_senior_mana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urso_Humanos\NunoCavaco_F045_senior_manager.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9455" cy="91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91D" w:rsidRPr="00AF573A">
        <w:rPr>
          <w:b/>
          <w:lang w:val="en-GB"/>
        </w:rPr>
        <w:t>Nuno Martins Cavaco</w:t>
      </w:r>
      <w:r w:rsidR="0054391D" w:rsidRPr="00AF573A">
        <w:rPr>
          <w:lang w:val="en-GB"/>
        </w:rPr>
        <w:t xml:space="preserve"> holds a Ph.D. in Industrial Engineering (FCT/UNL, Portugal). He is an Associate Professor of Industrial Engineering at </w:t>
      </w:r>
      <w:proofErr w:type="spellStart"/>
      <w:r w:rsidR="0054391D" w:rsidRPr="00AF573A">
        <w:t>Universidade</w:t>
      </w:r>
      <w:proofErr w:type="spellEnd"/>
      <w:r w:rsidR="0054391D" w:rsidRPr="00AF573A">
        <w:t xml:space="preserve"> Nova de </w:t>
      </w:r>
      <w:proofErr w:type="spellStart"/>
      <w:r w:rsidR="0054391D" w:rsidRPr="00AF573A">
        <w:t>Lisboa</w:t>
      </w:r>
      <w:proofErr w:type="spellEnd"/>
      <w:r w:rsidR="0054391D" w:rsidRPr="00AF573A">
        <w:rPr>
          <w:lang w:val="en-GB"/>
        </w:rPr>
        <w:t xml:space="preserve"> (UNL). He teaches supply chain and project management, and as a researcher in UNIDEMI (R&amp;D Unit in Mechanical &amp; Industrial Engineering -</w:t>
      </w:r>
      <w:r w:rsidR="0054391D" w:rsidRPr="00AF573A">
        <w:rPr>
          <w:color w:val="222222"/>
          <w:shd w:val="clear" w:color="auto" w:fill="FFFFFF"/>
        </w:rPr>
        <w:t xml:space="preserve"> </w:t>
      </w:r>
      <w:hyperlink r:id="rId33" w:tgtFrame="_blank" w:history="1">
        <w:r w:rsidR="0054391D" w:rsidRPr="00AF573A">
          <w:rPr>
            <w:rStyle w:val="a3"/>
            <w:color w:val="1155CC"/>
            <w:shd w:val="clear" w:color="auto" w:fill="FFFFFF"/>
          </w:rPr>
          <w:t>http://unidemi.com/</w:t>
        </w:r>
      </w:hyperlink>
      <w:r w:rsidR="0054391D" w:rsidRPr="00AF573A">
        <w:rPr>
          <w:color w:val="222222"/>
          <w:shd w:val="clear" w:color="auto" w:fill="FFFFFF"/>
        </w:rPr>
        <w:t xml:space="preserve">) </w:t>
      </w:r>
      <w:r w:rsidR="0054391D" w:rsidRPr="00AF573A">
        <w:rPr>
          <w:lang w:val="en-GB"/>
        </w:rPr>
        <w:t xml:space="preserve">his main scientific work is on sustainable competitiveness, developing studies about innovation and resilience, and its impact on economic, social and environmental results. With more than 25 years of professional activity as a business consultant, he is also Head of a Management Consultancy company, with extensive experience as mentor, coacher and trainer in several subjects. </w:t>
      </w:r>
    </w:p>
    <w:p w14:paraId="5F2E0EED" w14:textId="052ACD6D" w:rsidR="0054391D" w:rsidRPr="00AF573A" w:rsidRDefault="00DA7B91" w:rsidP="00DA7B91">
      <w:pPr>
        <w:spacing w:before="120" w:after="240" w:line="276" w:lineRule="auto"/>
        <w:jc w:val="both"/>
      </w:pPr>
      <w:r w:rsidRPr="00AF573A">
        <w:rPr>
          <w:noProof/>
          <w:lang w:eastAsia="pt-PT"/>
        </w:rPr>
        <w:drawing>
          <wp:anchor distT="0" distB="0" distL="114300" distR="114300" simplePos="0" relativeHeight="251662336" behindDoc="0" locked="0" layoutInCell="1" allowOverlap="1" wp14:anchorId="4195FB88" wp14:editId="71ACDFDD">
            <wp:simplePos x="0" y="0"/>
            <wp:positionH relativeFrom="margin">
              <wp:posOffset>2920365</wp:posOffset>
            </wp:positionH>
            <wp:positionV relativeFrom="margin">
              <wp:posOffset>3608705</wp:posOffset>
            </wp:positionV>
            <wp:extent cx="719455" cy="902335"/>
            <wp:effectExtent l="0" t="0" r="4445" b="0"/>
            <wp:wrapSquare wrapText="bothSides"/>
            <wp:docPr id="1" name="Imagem 1" descr="http://ieomsociety.org/ieom2017/wp-content/uploads/2015/02/V.-Cruz-Mach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eomsociety.org/ieom2017/wp-content/uploads/2015/02/V.-Cruz-Machado.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19455"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391D" w:rsidRPr="00AF573A">
        <w:rPr>
          <w:b/>
          <w:bCs/>
          <w:color w:val="222222"/>
          <w:shd w:val="clear" w:color="auto" w:fill="FFFFFF"/>
        </w:rPr>
        <w:t>V. Cruz-Machado </w:t>
      </w:r>
      <w:r w:rsidR="0054391D" w:rsidRPr="00AF573A">
        <w:rPr>
          <w:color w:val="222222"/>
          <w:shd w:val="clear" w:color="auto" w:fill="FFFFFF"/>
        </w:rPr>
        <w:t xml:space="preserve">holds a Ph.D. in Industrial Engineering (Cranfield University, UK). He is a full professor of Industrial Engineering at </w:t>
      </w:r>
      <w:proofErr w:type="spellStart"/>
      <w:r w:rsidR="0054391D" w:rsidRPr="00AF573A">
        <w:rPr>
          <w:color w:val="222222"/>
          <w:shd w:val="clear" w:color="auto" w:fill="FFFFFF"/>
        </w:rPr>
        <w:t>Universidade</w:t>
      </w:r>
      <w:proofErr w:type="spellEnd"/>
      <w:r w:rsidR="0054391D" w:rsidRPr="00AF573A">
        <w:rPr>
          <w:color w:val="222222"/>
          <w:shd w:val="clear" w:color="auto" w:fill="FFFFFF"/>
        </w:rPr>
        <w:t xml:space="preserve"> Nova de </w:t>
      </w:r>
      <w:proofErr w:type="spellStart"/>
      <w:r w:rsidR="0054391D" w:rsidRPr="00AF573A">
        <w:rPr>
          <w:color w:val="222222"/>
          <w:shd w:val="clear" w:color="auto" w:fill="FFFFFF"/>
        </w:rPr>
        <w:t>Lisboa</w:t>
      </w:r>
      <w:proofErr w:type="spellEnd"/>
      <w:r w:rsidR="0054391D" w:rsidRPr="00AF573A">
        <w:rPr>
          <w:color w:val="222222"/>
          <w:shd w:val="clear" w:color="auto" w:fill="FFFFFF"/>
        </w:rPr>
        <w:t xml:space="preserve"> (UNL), Portugal. He is the head of the department of mechanical and industrial engineering at UNL and the director of the Industrial Engineering Doctoral Program. He teaches operations and production management and has published more than 300 papers in scientific journals and conferences, in addition to having supervised more than thirty Ph.D. students. His main scientific activities are directed to the design of lean and green supply chains. He is the president of UNIDEMI (R&amp;D Unit in Mechanical &amp; Industrial Engineering - </w:t>
      </w:r>
      <w:hyperlink r:id="rId35" w:tgtFrame="_blank" w:history="1">
        <w:r w:rsidR="0054391D" w:rsidRPr="00AF573A">
          <w:rPr>
            <w:rStyle w:val="a3"/>
            <w:color w:val="1155CC"/>
            <w:shd w:val="clear" w:color="auto" w:fill="FFFFFF"/>
          </w:rPr>
          <w:t>http://unidemi.com/</w:t>
        </w:r>
      </w:hyperlink>
      <w:r w:rsidR="0054391D" w:rsidRPr="00AF573A">
        <w:rPr>
          <w:color w:val="222222"/>
          <w:shd w:val="clear" w:color="auto" w:fill="FFFFFF"/>
        </w:rPr>
        <w:t>) and the president of IPEI Institute of Industrial Engineers in Portugal.</w:t>
      </w:r>
    </w:p>
    <w:p w14:paraId="2AE95C8D" w14:textId="77777777" w:rsidR="0054391D" w:rsidRPr="00AF573A" w:rsidRDefault="0054391D" w:rsidP="00AF573A">
      <w:pPr>
        <w:pStyle w:val="References"/>
        <w:widowControl w:val="0"/>
        <w:numPr>
          <w:ilvl w:val="0"/>
          <w:numId w:val="0"/>
        </w:numPr>
        <w:spacing w:before="120" w:afterLines="0" w:after="240" w:line="276" w:lineRule="auto"/>
        <w:ind w:left="360" w:hanging="360"/>
        <w:jc w:val="both"/>
        <w:rPr>
          <w:i/>
        </w:rPr>
      </w:pPr>
    </w:p>
    <w:p w14:paraId="2D33C250" w14:textId="77777777" w:rsidR="00AF573A" w:rsidRDefault="00AF573A" w:rsidP="00AF573A">
      <w:pPr>
        <w:pStyle w:val="References"/>
        <w:widowControl w:val="0"/>
        <w:numPr>
          <w:ilvl w:val="0"/>
          <w:numId w:val="0"/>
        </w:numPr>
        <w:spacing w:before="240" w:afterLines="0" w:after="240" w:line="276" w:lineRule="auto"/>
        <w:jc w:val="both"/>
        <w:rPr>
          <w:i/>
        </w:rPr>
        <w:sectPr w:rsidR="00AF573A" w:rsidSect="00AF573A">
          <w:type w:val="continuous"/>
          <w:pgSz w:w="11906" w:h="16838"/>
          <w:pgMar w:top="1417" w:right="1701" w:bottom="1417" w:left="1701" w:header="708" w:footer="708" w:gutter="0"/>
          <w:cols w:num="2" w:space="708"/>
          <w:docGrid w:linePitch="360"/>
        </w:sectPr>
      </w:pPr>
    </w:p>
    <w:p w14:paraId="41009587" w14:textId="6B977A17" w:rsidR="0054391D" w:rsidRPr="00AF573A" w:rsidRDefault="0054391D" w:rsidP="00AF573A">
      <w:pPr>
        <w:pStyle w:val="References"/>
        <w:widowControl w:val="0"/>
        <w:numPr>
          <w:ilvl w:val="0"/>
          <w:numId w:val="0"/>
        </w:numPr>
        <w:spacing w:before="240" w:afterLines="0" w:after="240" w:line="276" w:lineRule="auto"/>
        <w:jc w:val="both"/>
        <w:rPr>
          <w:i/>
        </w:rPr>
      </w:pPr>
    </w:p>
    <w:p w14:paraId="559043FF" w14:textId="77777777" w:rsidR="0054391D" w:rsidRPr="00522779" w:rsidRDefault="0054391D" w:rsidP="00C366E5">
      <w:pPr>
        <w:pStyle w:val="References"/>
        <w:widowControl w:val="0"/>
        <w:numPr>
          <w:ilvl w:val="0"/>
          <w:numId w:val="0"/>
        </w:numPr>
        <w:spacing w:before="240" w:afterLines="0" w:after="240" w:line="360" w:lineRule="auto"/>
        <w:ind w:left="360" w:hanging="360"/>
        <w:jc w:val="both"/>
        <w:rPr>
          <w:sz w:val="22"/>
          <w:szCs w:val="22"/>
        </w:rPr>
      </w:pPr>
    </w:p>
    <w:sectPr w:rsidR="0054391D" w:rsidRPr="00522779" w:rsidSect="00FD01E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1DD09" w14:textId="77777777" w:rsidR="00D6443E" w:rsidRDefault="00D6443E" w:rsidP="00DE4E05">
      <w:r>
        <w:separator/>
      </w:r>
    </w:p>
  </w:endnote>
  <w:endnote w:type="continuationSeparator" w:id="0">
    <w:p w14:paraId="496EB28F" w14:textId="77777777" w:rsidR="00D6443E" w:rsidRDefault="00D6443E" w:rsidP="00DE4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KaiTi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5819024"/>
      <w:docPartObj>
        <w:docPartGallery w:val="Page Numbers (Bottom of Page)"/>
        <w:docPartUnique/>
      </w:docPartObj>
    </w:sdtPr>
    <w:sdtEndPr/>
    <w:sdtContent>
      <w:p w14:paraId="19A19FBD" w14:textId="23C9EE04" w:rsidR="005D2608" w:rsidRDefault="005D2608">
        <w:pPr>
          <w:pStyle w:val="a7"/>
          <w:jc w:val="center"/>
        </w:pPr>
        <w:r>
          <w:fldChar w:fldCharType="begin"/>
        </w:r>
        <w:r>
          <w:instrText>PAGE   \* MERGEFORMAT</w:instrText>
        </w:r>
        <w:r>
          <w:fldChar w:fldCharType="separate"/>
        </w:r>
        <w:r>
          <w:rPr>
            <w:lang w:val="zh-TW" w:eastAsia="zh-TW"/>
          </w:rPr>
          <w:t>2</w:t>
        </w:r>
        <w:r>
          <w:fldChar w:fldCharType="end"/>
        </w:r>
      </w:p>
    </w:sdtContent>
  </w:sdt>
  <w:p w14:paraId="66F3E7FD" w14:textId="0D9E17B4" w:rsidR="00502EC0" w:rsidRPr="00502EC0" w:rsidRDefault="00502EC0">
    <w:pPr>
      <w:pStyle w:val="a7"/>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68477" w14:textId="77777777" w:rsidR="00D6443E" w:rsidRDefault="00D6443E" w:rsidP="00DE4E05">
      <w:r>
        <w:separator/>
      </w:r>
    </w:p>
  </w:footnote>
  <w:footnote w:type="continuationSeparator" w:id="0">
    <w:p w14:paraId="22D6BB45" w14:textId="77777777" w:rsidR="00D6443E" w:rsidRDefault="00D6443E" w:rsidP="00DE4E05">
      <w:r>
        <w:continuationSeparator/>
      </w:r>
    </w:p>
  </w:footnote>
  <w:footnote w:id="1">
    <w:p w14:paraId="5A5721B3" w14:textId="77777777" w:rsidR="00A64D88" w:rsidRPr="005846E0" w:rsidRDefault="00A64D88" w:rsidP="00DE4E05">
      <w:pPr>
        <w:pStyle w:val="a7"/>
        <w:rPr>
          <w:lang w:val="pt-PT"/>
        </w:rPr>
      </w:pPr>
      <w:r>
        <w:rPr>
          <w:rStyle w:val="a6"/>
        </w:rPr>
        <w:footnoteRef/>
      </w:r>
      <w:r w:rsidRPr="005846E0">
        <w:rPr>
          <w:lang w:val="pt-PT"/>
        </w:rPr>
        <w:t xml:space="preserve"> </w:t>
      </w:r>
      <w:r w:rsidRPr="0078397B">
        <w:rPr>
          <w:lang w:val="pt-PT"/>
        </w:rPr>
        <w:t xml:space="preserve">Nuno Martins Cavaco, Tel.: + 351 212 948 567; fax: + 351 212 954 461. </w:t>
      </w:r>
      <w:r w:rsidRPr="0078397B">
        <w:rPr>
          <w:i/>
          <w:lang w:val="pt-PT"/>
        </w:rPr>
        <w:t>E-mail address:</w:t>
      </w:r>
      <w:r w:rsidRPr="0078397B">
        <w:rPr>
          <w:lang w:val="pt-PT"/>
        </w:rPr>
        <w:t xml:space="preserve"> </w:t>
      </w:r>
      <w:hyperlink r:id="rId1" w:history="1">
        <w:r w:rsidRPr="0078397B">
          <w:rPr>
            <w:rStyle w:val="a3"/>
            <w:lang w:val="pt-PT"/>
          </w:rPr>
          <w:t>namc@fct.unl.pt</w:t>
        </w:r>
      </w:hyperlink>
    </w:p>
  </w:footnote>
  <w:footnote w:id="2">
    <w:p w14:paraId="5BB4BC26" w14:textId="77777777" w:rsidR="00A64D88" w:rsidRPr="00DC5D14" w:rsidRDefault="00A64D88" w:rsidP="00DE4E05">
      <w:pPr>
        <w:pStyle w:val="a4"/>
      </w:pPr>
      <w:r>
        <w:rPr>
          <w:rStyle w:val="a6"/>
        </w:rPr>
        <w:footnoteRef/>
      </w:r>
      <w:r w:rsidRPr="005846E0">
        <w:rPr>
          <w:lang w:val="pt-PT"/>
        </w:rPr>
        <w:t xml:space="preserve"> </w:t>
      </w:r>
      <w:r w:rsidRPr="0078397B">
        <w:rPr>
          <w:lang w:val="pt-PT"/>
        </w:rPr>
        <w:t xml:space="preserve">V. Cruz Machado, Tel.: + 351 212 948 567; fax: + 351 212 954 461. </w:t>
      </w:r>
      <w:r w:rsidRPr="00DC5D14">
        <w:rPr>
          <w:i/>
        </w:rPr>
        <w:t>E-mail address:</w:t>
      </w:r>
      <w:r w:rsidRPr="00DC5D14">
        <w:t xml:space="preserve"> </w:t>
      </w:r>
      <w:hyperlink r:id="rId2" w:history="1">
        <w:r w:rsidRPr="00DC5D14">
          <w:rPr>
            <w:rStyle w:val="a3"/>
          </w:rPr>
          <w:t>vcm@fct.unl.pt</w:t>
        </w:r>
      </w:hyperlink>
    </w:p>
  </w:footnote>
  <w:footnote w:id="3">
    <w:p w14:paraId="3FA2DBC4" w14:textId="77777777" w:rsidR="00A64D88" w:rsidRPr="002C59D2" w:rsidRDefault="00A64D88">
      <w:pPr>
        <w:pStyle w:val="a4"/>
      </w:pPr>
      <w:r w:rsidRPr="002C59D2">
        <w:rPr>
          <w:rStyle w:val="a6"/>
        </w:rPr>
        <w:footnoteRef/>
      </w:r>
      <w:r w:rsidRPr="002C59D2">
        <w:t xml:space="preserve"> PESTLE – Political, Economic, Social, Technological, Legal and Environmental analysis</w:t>
      </w:r>
      <w:r>
        <w:t xml:space="preserve">; </w:t>
      </w:r>
    </w:p>
  </w:footnote>
  <w:footnote w:id="4">
    <w:p w14:paraId="65D5BF80" w14:textId="77777777" w:rsidR="00A64D88" w:rsidRPr="00565C92" w:rsidRDefault="00A64D88">
      <w:pPr>
        <w:pStyle w:val="a4"/>
      </w:pPr>
      <w:r>
        <w:rPr>
          <w:rStyle w:val="a6"/>
        </w:rPr>
        <w:footnoteRef/>
      </w:r>
      <w:r>
        <w:t xml:space="preserve"> LARG – Lean, Agile, Resilient and Green</w:t>
      </w:r>
    </w:p>
  </w:footnote>
  <w:footnote w:id="5">
    <w:p w14:paraId="54206E69" w14:textId="77777777" w:rsidR="00A64D88" w:rsidRPr="002C59D2" w:rsidRDefault="00A64D88">
      <w:pPr>
        <w:pStyle w:val="a4"/>
      </w:pPr>
      <w:r w:rsidRPr="002C59D2">
        <w:rPr>
          <w:rStyle w:val="a6"/>
        </w:rPr>
        <w:footnoteRef/>
      </w:r>
      <w:r w:rsidRPr="002C59D2">
        <w:t xml:space="preserve"> EFQM – European Foundation for Quality Management excel award</w:t>
      </w:r>
    </w:p>
  </w:footnote>
  <w:footnote w:id="6">
    <w:p w14:paraId="7B3894F9" w14:textId="77777777" w:rsidR="00A64D88" w:rsidRPr="002C59D2" w:rsidRDefault="00A64D88">
      <w:pPr>
        <w:pStyle w:val="a4"/>
      </w:pPr>
      <w:r w:rsidRPr="002C59D2">
        <w:rPr>
          <w:rStyle w:val="a6"/>
        </w:rPr>
        <w:footnoteRef/>
      </w:r>
      <w:r w:rsidRPr="002C59D2">
        <w:t xml:space="preserve"> </w:t>
      </w:r>
      <w:r>
        <w:t xml:space="preserve">GRI – Global </w:t>
      </w:r>
      <w:r w:rsidRPr="002C59D2">
        <w:t>Dow Jones Sustainability Index</w:t>
      </w:r>
    </w:p>
  </w:footnote>
  <w:footnote w:id="7">
    <w:p w14:paraId="44B804B3" w14:textId="7FF551BD" w:rsidR="00A64D88" w:rsidRPr="0027270D" w:rsidRDefault="00A64D88">
      <w:pPr>
        <w:pStyle w:val="a4"/>
      </w:pPr>
      <w:r>
        <w:rPr>
          <w:rStyle w:val="a6"/>
        </w:rPr>
        <w:footnoteRef/>
      </w:r>
      <w:r>
        <w:t xml:space="preserve"> ISO 9000</w:t>
      </w:r>
      <w:r w:rsidR="00ED6AAE">
        <w:t>(series)</w:t>
      </w:r>
      <w:r>
        <w:t xml:space="preserve"> – Quality management</w:t>
      </w:r>
    </w:p>
  </w:footnote>
  <w:footnote w:id="8">
    <w:p w14:paraId="629924C3" w14:textId="1D1A0661" w:rsidR="00A64D88" w:rsidRPr="0027270D" w:rsidRDefault="00A64D88">
      <w:pPr>
        <w:pStyle w:val="a4"/>
      </w:pPr>
      <w:r w:rsidRPr="0027270D">
        <w:footnoteRef/>
      </w:r>
      <w:r w:rsidR="00ED6AAE">
        <w:t xml:space="preserve"> ISO 14001</w:t>
      </w:r>
      <w:r>
        <w:t xml:space="preserve"> – Environment management</w:t>
      </w:r>
    </w:p>
  </w:footnote>
  <w:footnote w:id="9">
    <w:p w14:paraId="28242F99" w14:textId="77777777" w:rsidR="00A64D88" w:rsidRPr="0027270D" w:rsidRDefault="00A64D88">
      <w:pPr>
        <w:pStyle w:val="a4"/>
      </w:pPr>
      <w:r w:rsidRPr="0027270D">
        <w:footnoteRef/>
      </w:r>
      <w:r>
        <w:t xml:space="preserve"> ISO 22400 - </w:t>
      </w:r>
      <w:r w:rsidRPr="0027270D">
        <w:t xml:space="preserve">Automation systems and integration -- Key performance </w:t>
      </w:r>
      <w:r w:rsidRPr="0027270D">
        <w:rPr>
          <w:i/>
          <w:iCs/>
        </w:rPr>
        <w:t>indicators</w:t>
      </w:r>
      <w:r w:rsidRPr="0027270D">
        <w:t xml:space="preserve"> (KPIs) for </w:t>
      </w:r>
      <w:r w:rsidRPr="0027270D">
        <w:rPr>
          <w:i/>
          <w:iCs/>
        </w:rPr>
        <w:t>manufacturing</w:t>
      </w:r>
      <w:r w:rsidRPr="0027270D">
        <w:t xml:space="preserve"> operations management</w:t>
      </w:r>
    </w:p>
  </w:footnote>
  <w:footnote w:id="10">
    <w:p w14:paraId="0F42C37F" w14:textId="77777777" w:rsidR="00A64D88" w:rsidRPr="0027270D" w:rsidRDefault="00A64D88">
      <w:pPr>
        <w:pStyle w:val="a4"/>
      </w:pPr>
      <w:r w:rsidRPr="0027270D">
        <w:footnoteRef/>
      </w:r>
      <w:r>
        <w:t xml:space="preserve"> ISO 26000 – Social responsibility</w:t>
      </w:r>
    </w:p>
  </w:footnote>
  <w:footnote w:id="11">
    <w:p w14:paraId="0F529A7C" w14:textId="7574A318" w:rsidR="00A64D88" w:rsidRPr="0027270D" w:rsidRDefault="00A64D88">
      <w:pPr>
        <w:pStyle w:val="a4"/>
      </w:pPr>
      <w:r>
        <w:rPr>
          <w:rStyle w:val="a6"/>
        </w:rPr>
        <w:footnoteRef/>
      </w:r>
      <w:r w:rsidR="00503933">
        <w:t xml:space="preserve"> ISO 45001</w:t>
      </w:r>
      <w:r>
        <w:t xml:space="preserve"> - Occupational health and safety</w:t>
      </w:r>
    </w:p>
  </w:footnote>
  <w:footnote w:id="12">
    <w:p w14:paraId="6EFD3520" w14:textId="77777777" w:rsidR="00A64D88" w:rsidRPr="0027270D" w:rsidRDefault="00A64D88">
      <w:pPr>
        <w:pStyle w:val="a4"/>
      </w:pPr>
      <w:r>
        <w:rPr>
          <w:rStyle w:val="a6"/>
        </w:rPr>
        <w:footnoteRef/>
      </w:r>
      <w:r>
        <w:t xml:space="preserve"> ITIL - </w:t>
      </w:r>
      <w:r w:rsidRPr="0027270D">
        <w:rPr>
          <w:i/>
          <w:iCs/>
        </w:rPr>
        <w:t>Information Technology Infrastructure Library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FDCA0" w14:textId="5E6C473C" w:rsidR="00990525" w:rsidRPr="00F63056" w:rsidRDefault="005D2608" w:rsidP="00990525">
    <w:pPr>
      <w:ind w:rightChars="-118" w:right="-236" w:firstLine="340"/>
      <w:jc w:val="right"/>
      <w:rPr>
        <w:sz w:val="17"/>
        <w:szCs w:val="17"/>
      </w:rPr>
    </w:pPr>
    <w:r w:rsidRPr="005D2608">
      <w:rPr>
        <w:sz w:val="17"/>
        <w:szCs w:val="17"/>
      </w:rPr>
      <w:t>Nuno Martins Cavaco</w:t>
    </w:r>
    <w:r>
      <w:rPr>
        <w:sz w:val="17"/>
        <w:szCs w:val="17"/>
      </w:rPr>
      <w:t xml:space="preserve">, </w:t>
    </w:r>
    <w:r w:rsidRPr="005D2608">
      <w:rPr>
        <w:sz w:val="17"/>
        <w:szCs w:val="17"/>
      </w:rPr>
      <w:t>V</w:t>
    </w:r>
    <w:r>
      <w:rPr>
        <w:sz w:val="17"/>
        <w:szCs w:val="17"/>
      </w:rPr>
      <w:t>.</w:t>
    </w:r>
    <w:r w:rsidRPr="005D2608">
      <w:rPr>
        <w:sz w:val="17"/>
        <w:szCs w:val="17"/>
      </w:rPr>
      <w:t xml:space="preserve"> Cruz Machado</w:t>
    </w:r>
    <w:r w:rsidR="00990525" w:rsidRPr="00F63056">
      <w:rPr>
        <w:sz w:val="17"/>
        <w:szCs w:val="17"/>
      </w:rPr>
      <w:t xml:space="preserve"> </w:t>
    </w:r>
    <w:r w:rsidR="00990525" w:rsidRPr="009A57CA">
      <w:rPr>
        <w:sz w:val="17"/>
        <w:szCs w:val="17"/>
      </w:rPr>
      <w:t xml:space="preserve">/ </w:t>
    </w:r>
    <w:r w:rsidR="00990525">
      <w:rPr>
        <w:sz w:val="17"/>
        <w:szCs w:val="17"/>
      </w:rPr>
      <w:t xml:space="preserve">Int. J. Systematic Innovation, </w:t>
    </w:r>
    <w:r w:rsidR="00990525">
      <w:rPr>
        <w:rFonts w:hint="eastAsia"/>
        <w:sz w:val="17"/>
        <w:szCs w:val="17"/>
      </w:rPr>
      <w:t>5</w:t>
    </w:r>
    <w:r w:rsidR="00990525">
      <w:rPr>
        <w:sz w:val="17"/>
        <w:szCs w:val="17"/>
      </w:rPr>
      <w:t>(</w:t>
    </w:r>
    <w:r>
      <w:rPr>
        <w:sz w:val="17"/>
        <w:szCs w:val="17"/>
      </w:rPr>
      <w:t>2</w:t>
    </w:r>
    <w:r w:rsidR="00990525" w:rsidRPr="009A57CA">
      <w:rPr>
        <w:sz w:val="17"/>
        <w:szCs w:val="17"/>
      </w:rPr>
      <w:t xml:space="preserve">), </w:t>
    </w:r>
    <w:r>
      <w:rPr>
        <w:sz w:val="17"/>
        <w:szCs w:val="17"/>
      </w:rPr>
      <w:t>7</w:t>
    </w:r>
    <w:r w:rsidR="00990525" w:rsidRPr="009A57CA">
      <w:rPr>
        <w:sz w:val="17"/>
        <w:szCs w:val="17"/>
      </w:rPr>
      <w:t>-</w:t>
    </w:r>
    <w:r w:rsidR="00990525">
      <w:rPr>
        <w:rFonts w:hint="eastAsia"/>
        <w:sz w:val="17"/>
        <w:szCs w:val="17"/>
      </w:rPr>
      <w:t>1</w:t>
    </w:r>
    <w:r>
      <w:rPr>
        <w:sz w:val="17"/>
        <w:szCs w:val="17"/>
      </w:rPr>
      <w:t>7</w:t>
    </w:r>
    <w:r w:rsidR="00990525">
      <w:rPr>
        <w:sz w:val="17"/>
        <w:szCs w:val="17"/>
      </w:rPr>
      <w:t xml:space="preserve"> (201</w:t>
    </w:r>
    <w:r w:rsidR="00990525">
      <w:rPr>
        <w:rFonts w:hint="eastAsia"/>
        <w:sz w:val="17"/>
        <w:szCs w:val="17"/>
      </w:rPr>
      <w:t>8</w:t>
    </w:r>
    <w:r w:rsidR="00990525" w:rsidRPr="009A57CA">
      <w:rPr>
        <w:sz w:val="17"/>
        <w:szCs w:val="17"/>
      </w:rPr>
      <w:t>)</w:t>
    </w:r>
    <w:r w:rsidR="00990525">
      <w:rPr>
        <w:noProof/>
      </w:rPr>
      <w:drawing>
        <wp:anchor distT="0" distB="0" distL="114300" distR="114300" simplePos="0" relativeHeight="251659264" behindDoc="1" locked="0" layoutInCell="1" allowOverlap="1" wp14:anchorId="4D8E5B42" wp14:editId="7C95F709">
          <wp:simplePos x="0" y="0"/>
          <wp:positionH relativeFrom="margin">
            <wp:align>center</wp:align>
          </wp:positionH>
          <wp:positionV relativeFrom="margin">
            <wp:posOffset>-904875</wp:posOffset>
          </wp:positionV>
          <wp:extent cx="7560310" cy="10685145"/>
          <wp:effectExtent l="0" t="0" r="2540" b="1905"/>
          <wp:wrapNone/>
          <wp:docPr id="2" name="圖片 2" descr="頁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頁尾"/>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4CD754" w14:textId="6E61463B" w:rsidR="00990525" w:rsidRPr="00990525" w:rsidRDefault="00990525" w:rsidP="00990525">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6713B"/>
    <w:multiLevelType w:val="hybridMultilevel"/>
    <w:tmpl w:val="5A6A1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E4B50"/>
    <w:multiLevelType w:val="hybridMultilevel"/>
    <w:tmpl w:val="E982D334"/>
    <w:lvl w:ilvl="0" w:tplc="1F36E1B6">
      <w:start w:val="617"/>
      <w:numFmt w:val="bullet"/>
      <w:lvlText w:val=""/>
      <w:lvlJc w:val="left"/>
      <w:pPr>
        <w:ind w:left="480" w:hanging="480"/>
      </w:pPr>
      <w:rPr>
        <w:rFonts w:ascii="Symbol" w:hAnsi="Symbol" w:cs="Times New Roman" w:hint="default"/>
        <w:caps w:val="0"/>
        <w:strike w:val="0"/>
        <w:dstrike w:val="0"/>
        <w:outline w:val="0"/>
        <w:shadow w:val="0"/>
        <w:emboss w:val="0"/>
        <w:imprint w:val="0"/>
        <w:vanish w:val="0"/>
        <w:sz w:val="20"/>
        <w:szCs w:val="20"/>
        <w:vertAlign w:val="baseli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5084A3C"/>
    <w:multiLevelType w:val="hybridMultilevel"/>
    <w:tmpl w:val="427AD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8D0C51"/>
    <w:multiLevelType w:val="hybridMultilevel"/>
    <w:tmpl w:val="713A1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F57E47"/>
    <w:multiLevelType w:val="hybridMultilevel"/>
    <w:tmpl w:val="9C98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590BF5"/>
    <w:multiLevelType w:val="hybridMultilevel"/>
    <w:tmpl w:val="BF5A7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06733A"/>
    <w:multiLevelType w:val="multilevel"/>
    <w:tmpl w:val="B02E7CAA"/>
    <w:lvl w:ilvl="0">
      <w:start w:val="1"/>
      <w:numFmt w:val="decimal"/>
      <w:pStyle w:val="Header1"/>
      <w:lvlText w:val="%1."/>
      <w:lvlJc w:val="left"/>
      <w:pPr>
        <w:tabs>
          <w:tab w:val="num" w:pos="360"/>
        </w:tabs>
        <w:ind w:left="360" w:hanging="360"/>
      </w:pPr>
      <w:rPr>
        <w:rFonts w:ascii="Times New Roman" w:hAnsi="Times New Roman" w:hint="default"/>
        <w:b/>
        <w:i w:val="0"/>
        <w:sz w:val="20"/>
        <w:szCs w:val="20"/>
      </w:rPr>
    </w:lvl>
    <w:lvl w:ilvl="1">
      <w:start w:val="1"/>
      <w:numFmt w:val="decimal"/>
      <w:pStyle w:val="Header2"/>
      <w:lvlText w:val="%1.%2."/>
      <w:lvlJc w:val="left"/>
      <w:pPr>
        <w:tabs>
          <w:tab w:val="num" w:pos="605"/>
        </w:tabs>
        <w:ind w:left="605" w:hanging="605"/>
      </w:pPr>
      <w:rPr>
        <w:rFonts w:ascii="Times New Roman" w:hAnsi="Times New Roman" w:hint="default"/>
        <w:b/>
        <w:i w:val="0"/>
        <w:sz w:val="28"/>
      </w:rPr>
    </w:lvl>
    <w:lvl w:ilvl="2">
      <w:start w:val="1"/>
      <w:numFmt w:val="decimal"/>
      <w:lvlText w:val="%1.%2.%3."/>
      <w:lvlJc w:val="left"/>
      <w:pPr>
        <w:tabs>
          <w:tab w:val="num" w:pos="1224"/>
        </w:tabs>
        <w:ind w:left="1224" w:hanging="504"/>
      </w:pPr>
      <w:rPr>
        <w:rFonts w:hint="eastAsia"/>
      </w:rPr>
    </w:lvl>
    <w:lvl w:ilvl="3">
      <w:start w:val="1"/>
      <w:numFmt w:val="decimal"/>
      <w:lvlText w:val="%1.%2.%3.%4."/>
      <w:lvlJc w:val="left"/>
      <w:pPr>
        <w:tabs>
          <w:tab w:val="num" w:pos="1800"/>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7" w15:restartNumberingAfterBreak="0">
    <w:nsid w:val="7C534558"/>
    <w:multiLevelType w:val="singleLevel"/>
    <w:tmpl w:val="6E1C8B2A"/>
    <w:lvl w:ilvl="0">
      <w:start w:val="1"/>
      <w:numFmt w:val="decimal"/>
      <w:pStyle w:val="References"/>
      <w:lvlText w:val="[%1]"/>
      <w:lvlJc w:val="left"/>
      <w:pPr>
        <w:tabs>
          <w:tab w:val="num" w:pos="360"/>
        </w:tabs>
        <w:ind w:left="360" w:hanging="360"/>
      </w:pPr>
      <w:rPr>
        <w:sz w:val="20"/>
        <w:szCs w:val="20"/>
      </w:rPr>
    </w:lvl>
  </w:abstractNum>
  <w:num w:numId="1">
    <w:abstractNumId w:val="6"/>
  </w:num>
  <w:num w:numId="2">
    <w:abstractNumId w:val="7"/>
  </w:num>
  <w:num w:numId="3">
    <w:abstractNumId w:val="5"/>
  </w:num>
  <w:num w:numId="4">
    <w:abstractNumId w:val="4"/>
  </w:num>
  <w:num w:numId="5">
    <w:abstractNumId w:val="0"/>
  </w:num>
  <w:num w:numId="6">
    <w:abstractNumId w:val="3"/>
  </w:num>
  <w:num w:numId="7">
    <w:abstractNumId w:val="2"/>
  </w:num>
  <w:num w:numId="8">
    <w:abstractNumId w:val="1"/>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757"/>
    <w:rsid w:val="00007504"/>
    <w:rsid w:val="00027A32"/>
    <w:rsid w:val="000455C2"/>
    <w:rsid w:val="00090F55"/>
    <w:rsid w:val="000C596F"/>
    <w:rsid w:val="000D635E"/>
    <w:rsid w:val="00164F62"/>
    <w:rsid w:val="00174328"/>
    <w:rsid w:val="00180EBE"/>
    <w:rsid w:val="0019524D"/>
    <w:rsid w:val="00201656"/>
    <w:rsid w:val="00216D5D"/>
    <w:rsid w:val="002559B0"/>
    <w:rsid w:val="0027270D"/>
    <w:rsid w:val="002A0C6E"/>
    <w:rsid w:val="002C5718"/>
    <w:rsid w:val="002C59D2"/>
    <w:rsid w:val="002E1A10"/>
    <w:rsid w:val="002E6519"/>
    <w:rsid w:val="002E7052"/>
    <w:rsid w:val="00303B9E"/>
    <w:rsid w:val="003267E5"/>
    <w:rsid w:val="00333E7C"/>
    <w:rsid w:val="00340A92"/>
    <w:rsid w:val="003647FB"/>
    <w:rsid w:val="00374BCA"/>
    <w:rsid w:val="003A1127"/>
    <w:rsid w:val="003C0523"/>
    <w:rsid w:val="003C7409"/>
    <w:rsid w:val="003D0075"/>
    <w:rsid w:val="003F67FB"/>
    <w:rsid w:val="00402D3E"/>
    <w:rsid w:val="0043095D"/>
    <w:rsid w:val="00430E31"/>
    <w:rsid w:val="004670AC"/>
    <w:rsid w:val="00472EA9"/>
    <w:rsid w:val="004D59A0"/>
    <w:rsid w:val="004F49E4"/>
    <w:rsid w:val="00502EC0"/>
    <w:rsid w:val="00503933"/>
    <w:rsid w:val="005119A0"/>
    <w:rsid w:val="00512B81"/>
    <w:rsid w:val="00522779"/>
    <w:rsid w:val="00522D66"/>
    <w:rsid w:val="005241B7"/>
    <w:rsid w:val="0054391D"/>
    <w:rsid w:val="00565C92"/>
    <w:rsid w:val="00570CD9"/>
    <w:rsid w:val="0057216F"/>
    <w:rsid w:val="005A1340"/>
    <w:rsid w:val="005A2470"/>
    <w:rsid w:val="005A6C94"/>
    <w:rsid w:val="005D2608"/>
    <w:rsid w:val="005F7587"/>
    <w:rsid w:val="005F7B96"/>
    <w:rsid w:val="00621F26"/>
    <w:rsid w:val="00670B59"/>
    <w:rsid w:val="006C5125"/>
    <w:rsid w:val="00732400"/>
    <w:rsid w:val="00766CB3"/>
    <w:rsid w:val="0077685A"/>
    <w:rsid w:val="0078208F"/>
    <w:rsid w:val="0078540A"/>
    <w:rsid w:val="007A1BE5"/>
    <w:rsid w:val="007C00A3"/>
    <w:rsid w:val="007F2AD2"/>
    <w:rsid w:val="00844D90"/>
    <w:rsid w:val="008632B4"/>
    <w:rsid w:val="008D1B4A"/>
    <w:rsid w:val="008F45F9"/>
    <w:rsid w:val="008F53EB"/>
    <w:rsid w:val="00973AD4"/>
    <w:rsid w:val="00984318"/>
    <w:rsid w:val="00990525"/>
    <w:rsid w:val="00990986"/>
    <w:rsid w:val="009D7DDD"/>
    <w:rsid w:val="009E00B0"/>
    <w:rsid w:val="00A324B2"/>
    <w:rsid w:val="00A47409"/>
    <w:rsid w:val="00A64D88"/>
    <w:rsid w:val="00A83168"/>
    <w:rsid w:val="00A857E5"/>
    <w:rsid w:val="00AB575C"/>
    <w:rsid w:val="00AE3A1D"/>
    <w:rsid w:val="00AF573A"/>
    <w:rsid w:val="00AF6AF6"/>
    <w:rsid w:val="00B0545C"/>
    <w:rsid w:val="00B26B56"/>
    <w:rsid w:val="00B73C3E"/>
    <w:rsid w:val="00B82FD7"/>
    <w:rsid w:val="00B85434"/>
    <w:rsid w:val="00C25571"/>
    <w:rsid w:val="00C366E5"/>
    <w:rsid w:val="00C751FA"/>
    <w:rsid w:val="00C84EF9"/>
    <w:rsid w:val="00C871CE"/>
    <w:rsid w:val="00CB070F"/>
    <w:rsid w:val="00CC6890"/>
    <w:rsid w:val="00CD10BE"/>
    <w:rsid w:val="00CE5775"/>
    <w:rsid w:val="00CF3B35"/>
    <w:rsid w:val="00D25757"/>
    <w:rsid w:val="00D6443E"/>
    <w:rsid w:val="00D94000"/>
    <w:rsid w:val="00DA7B91"/>
    <w:rsid w:val="00DC5D14"/>
    <w:rsid w:val="00DD035C"/>
    <w:rsid w:val="00DD2B9E"/>
    <w:rsid w:val="00DE4E05"/>
    <w:rsid w:val="00DE68DA"/>
    <w:rsid w:val="00DF33FD"/>
    <w:rsid w:val="00E10385"/>
    <w:rsid w:val="00E311C4"/>
    <w:rsid w:val="00E46EDF"/>
    <w:rsid w:val="00E53665"/>
    <w:rsid w:val="00E86C63"/>
    <w:rsid w:val="00ED6AAE"/>
    <w:rsid w:val="00F014CE"/>
    <w:rsid w:val="00F93ED3"/>
    <w:rsid w:val="00FA2264"/>
    <w:rsid w:val="00FD01EC"/>
  </w:rsids>
  <m:mathPr>
    <m:mathFont m:val="Cambria Math"/>
    <m:brkBin m:val="before"/>
    <m:brkBinSub m:val="--"/>
    <m:smallFrac m:val="0"/>
    <m:dispDef/>
    <m:lMargin m:val="0"/>
    <m:rMargin m:val="0"/>
    <m:defJc m:val="centerGroup"/>
    <m:wrapIndent m:val="1440"/>
    <m:intLim m:val="subSup"/>
    <m:naryLim m:val="undOvr"/>
  </m:mathPr>
  <w:themeFontLang w:val="pt-PT"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92618B"/>
  <w15:chartTrackingRefBased/>
  <w15:docId w15:val="{70B88C4C-BF1D-40C9-B8B8-C6FD971C7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5757"/>
    <w:pPr>
      <w:spacing w:after="0" w:line="240" w:lineRule="auto"/>
    </w:pPr>
    <w:rPr>
      <w:rFonts w:ascii="Times New Roman" w:eastAsia="SimSun" w:hAnsi="Times New Roman" w:cs="Times New Roman"/>
      <w:sz w:val="20"/>
      <w:szCs w:val="20"/>
      <w:lang w:val="en-US" w:eastAsia="zh-CN"/>
    </w:rPr>
  </w:style>
  <w:style w:type="paragraph" w:styleId="1">
    <w:name w:val="heading 1"/>
    <w:basedOn w:val="a"/>
    <w:next w:val="a"/>
    <w:link w:val="10"/>
    <w:uiPriority w:val="9"/>
    <w:qFormat/>
    <w:rsid w:val="002C571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27270D"/>
    <w:pPr>
      <w:spacing w:before="100" w:beforeAutospacing="1" w:after="100" w:afterAutospacing="1"/>
      <w:outlineLvl w:val="2"/>
    </w:pPr>
    <w:rPr>
      <w:rFonts w:eastAsia="Times New Roman"/>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ofPaper">
    <w:name w:val="Title of Paper"/>
    <w:basedOn w:val="a"/>
    <w:rsid w:val="00D25757"/>
    <w:pPr>
      <w:spacing w:beforeLines="200" w:before="480" w:after="360"/>
      <w:jc w:val="center"/>
    </w:pPr>
    <w:rPr>
      <w:rFonts w:eastAsia="MS Mincho"/>
      <w:b/>
      <w:bCs/>
      <w:sz w:val="32"/>
      <w:szCs w:val="40"/>
    </w:rPr>
  </w:style>
  <w:style w:type="paragraph" w:customStyle="1" w:styleId="Author">
    <w:name w:val="Author"/>
    <w:basedOn w:val="a"/>
    <w:rsid w:val="00D25757"/>
    <w:pPr>
      <w:tabs>
        <w:tab w:val="left" w:pos="1800"/>
        <w:tab w:val="left" w:pos="3510"/>
      </w:tabs>
      <w:spacing w:line="360" w:lineRule="auto"/>
      <w:jc w:val="center"/>
    </w:pPr>
    <w:rPr>
      <w:rFonts w:eastAsia="MS Mincho"/>
      <w:sz w:val="24"/>
      <w:szCs w:val="22"/>
    </w:rPr>
  </w:style>
  <w:style w:type="paragraph" w:customStyle="1" w:styleId="Affiliation">
    <w:name w:val="Affiliation"/>
    <w:basedOn w:val="a"/>
    <w:rsid w:val="00D25757"/>
    <w:pPr>
      <w:spacing w:afterLines="25" w:after="60"/>
      <w:jc w:val="center"/>
    </w:pPr>
    <w:rPr>
      <w:rFonts w:eastAsia="新細明體"/>
      <w:sz w:val="22"/>
    </w:rPr>
  </w:style>
  <w:style w:type="paragraph" w:customStyle="1" w:styleId="Data1">
    <w:name w:val="Data1"/>
    <w:basedOn w:val="a"/>
    <w:rsid w:val="00D25757"/>
    <w:pPr>
      <w:spacing w:after="240"/>
      <w:jc w:val="center"/>
    </w:pPr>
    <w:rPr>
      <w:i/>
    </w:rPr>
  </w:style>
  <w:style w:type="paragraph" w:customStyle="1" w:styleId="keywords">
    <w:name w:val="keywords"/>
    <w:basedOn w:val="a"/>
    <w:rsid w:val="00D25757"/>
    <w:pPr>
      <w:spacing w:before="120" w:afterLines="50" w:after="120" w:line="280" w:lineRule="exact"/>
      <w:ind w:left="425" w:right="431"/>
      <w:jc w:val="both"/>
    </w:pPr>
    <w:rPr>
      <w:rFonts w:eastAsia="MS Mincho"/>
      <w:lang w:val="en-GB"/>
    </w:rPr>
  </w:style>
  <w:style w:type="character" w:customStyle="1" w:styleId="abstractheadChar">
    <w:name w:val="abstract head Char"/>
    <w:rsid w:val="00D25757"/>
    <w:rPr>
      <w:rFonts w:eastAsia="SimSun"/>
      <w:b/>
      <w:bCs/>
      <w:sz w:val="24"/>
      <w:lang w:val="en-US" w:eastAsia="zh-CN" w:bidi="ar-SA"/>
    </w:rPr>
  </w:style>
  <w:style w:type="character" w:customStyle="1" w:styleId="keywordheadChar">
    <w:name w:val="keyword head Char"/>
    <w:rsid w:val="00D25757"/>
    <w:rPr>
      <w:rFonts w:eastAsia="MS Mincho"/>
      <w:b/>
      <w:bCs/>
      <w:sz w:val="24"/>
      <w:lang w:val="en-GB" w:eastAsia="zh-CN" w:bidi="ar-SA"/>
    </w:rPr>
  </w:style>
  <w:style w:type="character" w:styleId="a3">
    <w:name w:val="Hyperlink"/>
    <w:semiHidden/>
    <w:rsid w:val="00DE4E05"/>
    <w:rPr>
      <w:color w:val="0000FF"/>
      <w:u w:val="single"/>
    </w:rPr>
  </w:style>
  <w:style w:type="paragraph" w:styleId="a4">
    <w:name w:val="footnote text"/>
    <w:basedOn w:val="a"/>
    <w:link w:val="a5"/>
    <w:semiHidden/>
    <w:rsid w:val="00DE4E05"/>
    <w:pPr>
      <w:snapToGrid w:val="0"/>
    </w:pPr>
    <w:rPr>
      <w:sz w:val="18"/>
      <w:szCs w:val="18"/>
    </w:rPr>
  </w:style>
  <w:style w:type="character" w:customStyle="1" w:styleId="a5">
    <w:name w:val="註腳文字 字元"/>
    <w:basedOn w:val="a0"/>
    <w:link w:val="a4"/>
    <w:semiHidden/>
    <w:rsid w:val="00DE4E05"/>
    <w:rPr>
      <w:rFonts w:ascii="Times New Roman" w:eastAsia="SimSun" w:hAnsi="Times New Roman" w:cs="Times New Roman"/>
      <w:sz w:val="18"/>
      <w:szCs w:val="18"/>
      <w:lang w:val="en-US" w:eastAsia="zh-CN"/>
    </w:rPr>
  </w:style>
  <w:style w:type="character" w:styleId="a6">
    <w:name w:val="footnote reference"/>
    <w:semiHidden/>
    <w:rsid w:val="00DE4E05"/>
    <w:rPr>
      <w:vertAlign w:val="superscript"/>
    </w:rPr>
  </w:style>
  <w:style w:type="paragraph" w:styleId="a7">
    <w:name w:val="footer"/>
    <w:basedOn w:val="a"/>
    <w:link w:val="a8"/>
    <w:uiPriority w:val="99"/>
    <w:unhideWhenUsed/>
    <w:rsid w:val="00DE4E05"/>
    <w:pPr>
      <w:tabs>
        <w:tab w:val="center" w:pos="4153"/>
        <w:tab w:val="right" w:pos="8306"/>
      </w:tabs>
      <w:snapToGrid w:val="0"/>
    </w:pPr>
    <w:rPr>
      <w:sz w:val="18"/>
      <w:szCs w:val="18"/>
    </w:rPr>
  </w:style>
  <w:style w:type="character" w:customStyle="1" w:styleId="RodapCarter">
    <w:name w:val="Rodapé Caráter"/>
    <w:basedOn w:val="a0"/>
    <w:uiPriority w:val="99"/>
    <w:rsid w:val="00DE4E05"/>
    <w:rPr>
      <w:rFonts w:ascii="Times New Roman" w:eastAsia="SimSun" w:hAnsi="Times New Roman" w:cs="Times New Roman"/>
      <w:sz w:val="20"/>
      <w:szCs w:val="20"/>
      <w:lang w:val="en-US" w:eastAsia="zh-CN"/>
    </w:rPr>
  </w:style>
  <w:style w:type="character" w:customStyle="1" w:styleId="a8">
    <w:name w:val="頁尾 字元"/>
    <w:link w:val="a7"/>
    <w:uiPriority w:val="99"/>
    <w:rsid w:val="00DE4E05"/>
    <w:rPr>
      <w:rFonts w:ascii="Times New Roman" w:eastAsia="SimSun" w:hAnsi="Times New Roman" w:cs="Times New Roman"/>
      <w:sz w:val="18"/>
      <w:szCs w:val="18"/>
      <w:lang w:val="en-US" w:eastAsia="zh-CN"/>
    </w:rPr>
  </w:style>
  <w:style w:type="paragraph" w:customStyle="1" w:styleId="Header1">
    <w:name w:val="Header 1"/>
    <w:basedOn w:val="a"/>
    <w:rsid w:val="00DE4E05"/>
    <w:pPr>
      <w:numPr>
        <w:numId w:val="1"/>
      </w:numPr>
      <w:spacing w:before="240" w:after="120" w:line="240" w:lineRule="exact"/>
    </w:pPr>
    <w:rPr>
      <w:b/>
      <w:bCs/>
      <w:sz w:val="28"/>
      <w:szCs w:val="28"/>
    </w:rPr>
  </w:style>
  <w:style w:type="paragraph" w:styleId="a9">
    <w:name w:val="Body Text"/>
    <w:basedOn w:val="a"/>
    <w:link w:val="aa"/>
    <w:semiHidden/>
    <w:rsid w:val="00DE4E05"/>
    <w:pPr>
      <w:spacing w:afterLines="25" w:after="60" w:line="280" w:lineRule="exact"/>
      <w:ind w:firstLine="357"/>
      <w:jc w:val="both"/>
    </w:pPr>
    <w:rPr>
      <w:sz w:val="22"/>
      <w:lang w:val="en-GB"/>
    </w:rPr>
  </w:style>
  <w:style w:type="character" w:customStyle="1" w:styleId="aa">
    <w:name w:val="本文 字元"/>
    <w:basedOn w:val="a0"/>
    <w:link w:val="a9"/>
    <w:semiHidden/>
    <w:rsid w:val="00DE4E05"/>
    <w:rPr>
      <w:rFonts w:ascii="Times New Roman" w:eastAsia="SimSun" w:hAnsi="Times New Roman" w:cs="Times New Roman"/>
      <w:szCs w:val="20"/>
      <w:lang w:val="en-GB" w:eastAsia="zh-CN"/>
    </w:rPr>
  </w:style>
  <w:style w:type="paragraph" w:customStyle="1" w:styleId="Header2">
    <w:name w:val="Header 2"/>
    <w:basedOn w:val="Header1"/>
    <w:autoRedefine/>
    <w:rsid w:val="00DE4E05"/>
    <w:pPr>
      <w:numPr>
        <w:ilvl w:val="1"/>
      </w:numPr>
      <w:spacing w:line="240" w:lineRule="auto"/>
    </w:pPr>
    <w:rPr>
      <w:sz w:val="24"/>
    </w:rPr>
  </w:style>
  <w:style w:type="character" w:customStyle="1" w:styleId="aounit1">
    <w:name w:val="ao_unit1"/>
    <w:rsid w:val="00DE4E05"/>
  </w:style>
  <w:style w:type="paragraph" w:customStyle="1" w:styleId="References">
    <w:name w:val="References"/>
    <w:basedOn w:val="a"/>
    <w:rsid w:val="00DE4E05"/>
    <w:pPr>
      <w:numPr>
        <w:numId w:val="2"/>
      </w:numPr>
      <w:spacing w:afterLines="25" w:after="60" w:line="280" w:lineRule="exact"/>
    </w:pPr>
  </w:style>
  <w:style w:type="paragraph" w:styleId="ab">
    <w:name w:val="No Spacing"/>
    <w:aliases w:val="Corpo 2"/>
    <w:basedOn w:val="a"/>
    <w:uiPriority w:val="1"/>
    <w:qFormat/>
    <w:rsid w:val="003A1127"/>
    <w:pPr>
      <w:spacing w:before="120" w:after="200" w:line="360" w:lineRule="auto"/>
      <w:jc w:val="both"/>
    </w:pPr>
    <w:rPr>
      <w:rFonts w:eastAsiaTheme="minorHAnsi"/>
      <w:sz w:val="22"/>
      <w:szCs w:val="22"/>
      <w:lang w:eastAsia="en-US"/>
    </w:rPr>
  </w:style>
  <w:style w:type="character" w:customStyle="1" w:styleId="shorttext">
    <w:name w:val="short_text"/>
    <w:basedOn w:val="a0"/>
    <w:rsid w:val="003A1127"/>
  </w:style>
  <w:style w:type="character" w:customStyle="1" w:styleId="alt-edited">
    <w:name w:val="alt-edited"/>
    <w:basedOn w:val="a0"/>
    <w:rsid w:val="003A1127"/>
  </w:style>
  <w:style w:type="character" w:customStyle="1" w:styleId="30">
    <w:name w:val="標題 3 字元"/>
    <w:basedOn w:val="a0"/>
    <w:link w:val="3"/>
    <w:uiPriority w:val="9"/>
    <w:rsid w:val="0027270D"/>
    <w:rPr>
      <w:rFonts w:ascii="Times New Roman" w:eastAsia="Times New Roman" w:hAnsi="Times New Roman" w:cs="Times New Roman"/>
      <w:b/>
      <w:bCs/>
      <w:sz w:val="27"/>
      <w:szCs w:val="27"/>
      <w:lang w:val="en-US"/>
    </w:rPr>
  </w:style>
  <w:style w:type="character" w:customStyle="1" w:styleId="st">
    <w:name w:val="st"/>
    <w:basedOn w:val="a0"/>
    <w:rsid w:val="0027270D"/>
  </w:style>
  <w:style w:type="character" w:styleId="ac">
    <w:name w:val="Emphasis"/>
    <w:basedOn w:val="a0"/>
    <w:uiPriority w:val="20"/>
    <w:qFormat/>
    <w:rsid w:val="0027270D"/>
    <w:rPr>
      <w:i/>
      <w:iCs/>
    </w:rPr>
  </w:style>
  <w:style w:type="paragraph" w:styleId="ad">
    <w:name w:val="caption"/>
    <w:basedOn w:val="a"/>
    <w:next w:val="a"/>
    <w:uiPriority w:val="35"/>
    <w:unhideWhenUsed/>
    <w:qFormat/>
    <w:rsid w:val="00333E7C"/>
    <w:pPr>
      <w:spacing w:after="200"/>
    </w:pPr>
    <w:rPr>
      <w:i/>
      <w:iCs/>
      <w:color w:val="44546A" w:themeColor="text2"/>
      <w:sz w:val="18"/>
      <w:szCs w:val="18"/>
    </w:rPr>
  </w:style>
  <w:style w:type="character" w:customStyle="1" w:styleId="apple-converted-space">
    <w:name w:val="apple-converted-space"/>
    <w:basedOn w:val="a0"/>
    <w:rsid w:val="00E311C4"/>
  </w:style>
  <w:style w:type="character" w:customStyle="1" w:styleId="10">
    <w:name w:val="標題 1 字元"/>
    <w:basedOn w:val="a0"/>
    <w:link w:val="1"/>
    <w:uiPriority w:val="9"/>
    <w:rsid w:val="002C5718"/>
    <w:rPr>
      <w:rFonts w:asciiTheme="majorHAnsi" w:eastAsiaTheme="majorEastAsia" w:hAnsiTheme="majorHAnsi" w:cstheme="majorBidi"/>
      <w:color w:val="2E74B5" w:themeColor="accent1" w:themeShade="BF"/>
      <w:sz w:val="32"/>
      <w:szCs w:val="32"/>
      <w:lang w:val="en-US" w:eastAsia="zh-CN"/>
    </w:rPr>
  </w:style>
  <w:style w:type="character" w:customStyle="1" w:styleId="maintitle">
    <w:name w:val="maintitle"/>
    <w:rsid w:val="00522779"/>
  </w:style>
  <w:style w:type="character" w:customStyle="1" w:styleId="name">
    <w:name w:val="name"/>
    <w:rsid w:val="00522779"/>
  </w:style>
  <w:style w:type="character" w:customStyle="1" w:styleId="slug-pub-date">
    <w:name w:val="slug-pub-date"/>
    <w:rsid w:val="00522779"/>
  </w:style>
  <w:style w:type="character" w:customStyle="1" w:styleId="slug-vol">
    <w:name w:val="slug-vol"/>
    <w:rsid w:val="00522779"/>
  </w:style>
  <w:style w:type="character" w:customStyle="1" w:styleId="slug-issue">
    <w:name w:val="slug-issue"/>
    <w:rsid w:val="00522779"/>
  </w:style>
  <w:style w:type="character" w:customStyle="1" w:styleId="slug-pages">
    <w:name w:val="slug-pages"/>
    <w:rsid w:val="00522779"/>
  </w:style>
  <w:style w:type="paragraph" w:styleId="ae">
    <w:name w:val="header"/>
    <w:basedOn w:val="a"/>
    <w:link w:val="af"/>
    <w:uiPriority w:val="99"/>
    <w:unhideWhenUsed/>
    <w:rsid w:val="00A83168"/>
    <w:pPr>
      <w:tabs>
        <w:tab w:val="center" w:pos="4419"/>
        <w:tab w:val="right" w:pos="8838"/>
      </w:tabs>
    </w:pPr>
  </w:style>
  <w:style w:type="character" w:customStyle="1" w:styleId="af">
    <w:name w:val="頁首 字元"/>
    <w:basedOn w:val="a0"/>
    <w:link w:val="ae"/>
    <w:uiPriority w:val="99"/>
    <w:rsid w:val="00A83168"/>
    <w:rPr>
      <w:rFonts w:ascii="Times New Roman" w:eastAsia="SimSun" w:hAnsi="Times New Roman" w:cs="Times New Roman"/>
      <w:sz w:val="20"/>
      <w:szCs w:val="20"/>
      <w:lang w:val="en-US" w:eastAsia="zh-CN"/>
    </w:rPr>
  </w:style>
  <w:style w:type="character" w:styleId="af0">
    <w:name w:val="annotation reference"/>
    <w:basedOn w:val="a0"/>
    <w:uiPriority w:val="99"/>
    <w:semiHidden/>
    <w:unhideWhenUsed/>
    <w:rsid w:val="00216D5D"/>
    <w:rPr>
      <w:sz w:val="16"/>
      <w:szCs w:val="16"/>
    </w:rPr>
  </w:style>
  <w:style w:type="paragraph" w:styleId="af1">
    <w:name w:val="annotation text"/>
    <w:basedOn w:val="a"/>
    <w:link w:val="af2"/>
    <w:uiPriority w:val="99"/>
    <w:unhideWhenUsed/>
    <w:rsid w:val="00216D5D"/>
  </w:style>
  <w:style w:type="character" w:customStyle="1" w:styleId="af2">
    <w:name w:val="註解文字 字元"/>
    <w:basedOn w:val="a0"/>
    <w:link w:val="af1"/>
    <w:uiPriority w:val="99"/>
    <w:rsid w:val="00216D5D"/>
    <w:rPr>
      <w:rFonts w:ascii="Times New Roman" w:eastAsia="SimSun" w:hAnsi="Times New Roman" w:cs="Times New Roman"/>
      <w:sz w:val="20"/>
      <w:szCs w:val="20"/>
      <w:lang w:val="en-US" w:eastAsia="zh-CN"/>
    </w:rPr>
  </w:style>
  <w:style w:type="paragraph" w:styleId="af3">
    <w:name w:val="annotation subject"/>
    <w:basedOn w:val="af1"/>
    <w:next w:val="af1"/>
    <w:link w:val="af4"/>
    <w:uiPriority w:val="99"/>
    <w:semiHidden/>
    <w:unhideWhenUsed/>
    <w:rsid w:val="00216D5D"/>
    <w:rPr>
      <w:b/>
      <w:bCs/>
    </w:rPr>
  </w:style>
  <w:style w:type="character" w:customStyle="1" w:styleId="af4">
    <w:name w:val="註解主旨 字元"/>
    <w:basedOn w:val="af2"/>
    <w:link w:val="af3"/>
    <w:uiPriority w:val="99"/>
    <w:semiHidden/>
    <w:rsid w:val="00216D5D"/>
    <w:rPr>
      <w:rFonts w:ascii="Times New Roman" w:eastAsia="SimSun" w:hAnsi="Times New Roman" w:cs="Times New Roman"/>
      <w:b/>
      <w:bCs/>
      <w:sz w:val="20"/>
      <w:szCs w:val="20"/>
      <w:lang w:val="en-US" w:eastAsia="zh-CN"/>
    </w:rPr>
  </w:style>
  <w:style w:type="paragraph" w:styleId="af5">
    <w:name w:val="Balloon Text"/>
    <w:basedOn w:val="a"/>
    <w:link w:val="af6"/>
    <w:uiPriority w:val="99"/>
    <w:semiHidden/>
    <w:unhideWhenUsed/>
    <w:rsid w:val="00216D5D"/>
    <w:rPr>
      <w:rFonts w:ascii="Segoe UI" w:hAnsi="Segoe UI" w:cs="Segoe UI"/>
      <w:sz w:val="18"/>
      <w:szCs w:val="18"/>
    </w:rPr>
  </w:style>
  <w:style w:type="character" w:customStyle="1" w:styleId="af6">
    <w:name w:val="註解方塊文字 字元"/>
    <w:basedOn w:val="a0"/>
    <w:link w:val="af5"/>
    <w:uiPriority w:val="99"/>
    <w:semiHidden/>
    <w:rsid w:val="00216D5D"/>
    <w:rPr>
      <w:rFonts w:ascii="Segoe UI" w:eastAsia="SimSun" w:hAnsi="Segoe UI" w:cs="Segoe UI"/>
      <w:sz w:val="18"/>
      <w:szCs w:val="18"/>
      <w:lang w:val="en-US" w:eastAsia="zh-CN"/>
    </w:rPr>
  </w:style>
  <w:style w:type="character" w:styleId="af7">
    <w:name w:val="Unresolved Mention"/>
    <w:basedOn w:val="a0"/>
    <w:uiPriority w:val="99"/>
    <w:semiHidden/>
    <w:unhideWhenUsed/>
    <w:rsid w:val="00DA7B91"/>
    <w:rPr>
      <w:color w:val="605E5C"/>
      <w:shd w:val="clear" w:color="auto" w:fill="E1DFDD"/>
    </w:rPr>
  </w:style>
  <w:style w:type="paragraph" w:customStyle="1" w:styleId="Heading">
    <w:name w:val="Heading"/>
    <w:basedOn w:val="a"/>
    <w:next w:val="a"/>
    <w:rsid w:val="00DA7B91"/>
    <w:pPr>
      <w:keepNext/>
      <w:tabs>
        <w:tab w:val="left" w:pos="360"/>
        <w:tab w:val="left" w:pos="720"/>
        <w:tab w:val="left" w:pos="1080"/>
      </w:tabs>
      <w:suppressAutoHyphens/>
      <w:spacing w:before="240" w:after="240"/>
    </w:pPr>
    <w:rPr>
      <w:rFonts w:eastAsia="Times New Roman" w:cs="Angsana New"/>
      <w:b/>
      <w:caps/>
      <w:snapToGrid w:val="0"/>
      <w:lang w:eastAsia="en-US"/>
    </w:rPr>
  </w:style>
  <w:style w:type="table" w:styleId="af8">
    <w:name w:val="Table Grid"/>
    <w:basedOn w:val="a1"/>
    <w:uiPriority w:val="39"/>
    <w:rsid w:val="00DD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965746">
      <w:bodyDiv w:val="1"/>
      <w:marLeft w:val="0"/>
      <w:marRight w:val="0"/>
      <w:marTop w:val="0"/>
      <w:marBottom w:val="0"/>
      <w:divBdr>
        <w:top w:val="none" w:sz="0" w:space="0" w:color="auto"/>
        <w:left w:val="none" w:sz="0" w:space="0" w:color="auto"/>
        <w:bottom w:val="none" w:sz="0" w:space="0" w:color="auto"/>
        <w:right w:val="none" w:sz="0" w:space="0" w:color="auto"/>
      </w:divBdr>
      <w:divsChild>
        <w:div w:id="865563016">
          <w:marLeft w:val="0"/>
          <w:marRight w:val="0"/>
          <w:marTop w:val="0"/>
          <w:marBottom w:val="0"/>
          <w:divBdr>
            <w:top w:val="none" w:sz="0" w:space="0" w:color="auto"/>
            <w:left w:val="none" w:sz="0" w:space="0" w:color="auto"/>
            <w:bottom w:val="none" w:sz="0" w:space="0" w:color="auto"/>
            <w:right w:val="none" w:sz="0" w:space="0" w:color="auto"/>
          </w:divBdr>
        </w:div>
      </w:divsChild>
    </w:div>
    <w:div w:id="793063413">
      <w:bodyDiv w:val="1"/>
      <w:marLeft w:val="0"/>
      <w:marRight w:val="0"/>
      <w:marTop w:val="0"/>
      <w:marBottom w:val="0"/>
      <w:divBdr>
        <w:top w:val="none" w:sz="0" w:space="0" w:color="auto"/>
        <w:left w:val="none" w:sz="0" w:space="0" w:color="auto"/>
        <w:bottom w:val="none" w:sz="0" w:space="0" w:color="auto"/>
        <w:right w:val="none" w:sz="0" w:space="0" w:color="auto"/>
      </w:divBdr>
    </w:div>
    <w:div w:id="944265405">
      <w:bodyDiv w:val="1"/>
      <w:marLeft w:val="0"/>
      <w:marRight w:val="0"/>
      <w:marTop w:val="0"/>
      <w:marBottom w:val="0"/>
      <w:divBdr>
        <w:top w:val="none" w:sz="0" w:space="0" w:color="auto"/>
        <w:left w:val="none" w:sz="0" w:space="0" w:color="auto"/>
        <w:bottom w:val="none" w:sz="0" w:space="0" w:color="auto"/>
        <w:right w:val="none" w:sz="0" w:space="0" w:color="auto"/>
      </w:divBdr>
    </w:div>
    <w:div w:id="1055785728">
      <w:bodyDiv w:val="1"/>
      <w:marLeft w:val="0"/>
      <w:marRight w:val="0"/>
      <w:marTop w:val="0"/>
      <w:marBottom w:val="0"/>
      <w:divBdr>
        <w:top w:val="none" w:sz="0" w:space="0" w:color="auto"/>
        <w:left w:val="none" w:sz="0" w:space="0" w:color="auto"/>
        <w:bottom w:val="none" w:sz="0" w:space="0" w:color="auto"/>
        <w:right w:val="none" w:sz="0" w:space="0" w:color="auto"/>
      </w:divBdr>
    </w:div>
    <w:div w:id="1254165124">
      <w:bodyDiv w:val="1"/>
      <w:marLeft w:val="0"/>
      <w:marRight w:val="0"/>
      <w:marTop w:val="0"/>
      <w:marBottom w:val="0"/>
      <w:divBdr>
        <w:top w:val="none" w:sz="0" w:space="0" w:color="auto"/>
        <w:left w:val="none" w:sz="0" w:space="0" w:color="auto"/>
        <w:bottom w:val="none" w:sz="0" w:space="0" w:color="auto"/>
        <w:right w:val="none" w:sz="0" w:space="0" w:color="auto"/>
      </w:divBdr>
    </w:div>
    <w:div w:id="1765102152">
      <w:bodyDiv w:val="1"/>
      <w:marLeft w:val="0"/>
      <w:marRight w:val="0"/>
      <w:marTop w:val="0"/>
      <w:marBottom w:val="0"/>
      <w:divBdr>
        <w:top w:val="none" w:sz="0" w:space="0" w:color="auto"/>
        <w:left w:val="none" w:sz="0" w:space="0" w:color="auto"/>
        <w:bottom w:val="none" w:sz="0" w:space="0" w:color="auto"/>
        <w:right w:val="none" w:sz="0" w:space="0" w:color="auto"/>
      </w:divBdr>
      <w:divsChild>
        <w:div w:id="292099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ney.cnn.com/2012/01/19/news/companies/kodak_bankruptcy/index.htm" TargetMode="External"/><Relationship Id="rId18" Type="http://schemas.openxmlformats.org/officeDocument/2006/relationships/image" Target="media/image5.emf"/><Relationship Id="rId26" Type="http://schemas.openxmlformats.org/officeDocument/2006/relationships/hyperlink" Target="http://onlinelibrary.wiley.com/doi/10.1002/mde.v4:3/issuetoc" TargetMode="External"/><Relationship Id="rId21" Type="http://schemas.openxmlformats.org/officeDocument/2006/relationships/image" Target="media/image8.emf"/><Relationship Id="rId34"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yperlink" Target="http://www.bloomberg.com/news/2011-04-26/blockbuster-wins-final-bankruptcy-court-approval-to-sell-assets-to-dish.html" TargetMode="External"/><Relationship Id="rId17" Type="http://schemas.openxmlformats.org/officeDocument/2006/relationships/image" Target="media/image4.emf"/><Relationship Id="rId25" Type="http://schemas.openxmlformats.org/officeDocument/2006/relationships/hyperlink" Target="http://jom.sagepub.com/search?author1=Jay+Barney&amp;sortspec=date&amp;submit=Submit" TargetMode="External"/><Relationship Id="rId33" Type="http://schemas.openxmlformats.org/officeDocument/2006/relationships/hyperlink" Target="http://unidemi.com/" TargetMode="Externa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file:///\\192.168.1.150\share\Data-Base\5-IJoSI\!!!IJoSI&#20986;&#21002;&#36914;&#24230;&#36861;&#36452;\%23203%20v5-2\www.aei.org\publication\fortune-500-firms-in-1955-vs-2014-89-are-gone-and-were-all-better-off-because-of-that-dynamic-creative-destruc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Jim-Collins/e/B001H6GSHK/ref=dp_byline_cont_book_1" TargetMode="External"/><Relationship Id="rId24" Type="http://schemas.openxmlformats.org/officeDocument/2006/relationships/hyperlink" Target="http://dx.doi.org/10.1016/j.sbspro.2015.10.132." TargetMode="External"/><Relationship Id="rId32" Type="http://schemas.openxmlformats.org/officeDocument/2006/relationships/image" Target="media/image10.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linkinghub.elsevier.com/retrieve/pii/%20S002463011200074X." TargetMode="External"/><Relationship Id="rId28" Type="http://schemas.openxmlformats.org/officeDocument/2006/relationships/hyperlink" Target="http://onlinelibrary.wiley.com/doi/10.1002/sd.v18:2/issuetoc" TargetMode="External"/><Relationship Id="rId36" Type="http://schemas.openxmlformats.org/officeDocument/2006/relationships/fontTable" Target="fontTable.xml"/><Relationship Id="rId10" Type="http://schemas.openxmlformats.org/officeDocument/2006/relationships/hyperlink" Target="https://www.aei.org/scholar/mark-j-perry/" TargetMode="External"/><Relationship Id="rId19" Type="http://schemas.openxmlformats.org/officeDocument/2006/relationships/image" Target="media/image6.emf"/><Relationship Id="rId31" Type="http://schemas.openxmlformats.org/officeDocument/2006/relationships/hyperlink" Target="http://amp.aom.org/search?author1=Mark+B.+Milstein&amp;sortspec=date&amp;submit=Subm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ciencedirect.com/science/article/pii/S0148296313003573" TargetMode="External"/><Relationship Id="rId22" Type="http://schemas.openxmlformats.org/officeDocument/2006/relationships/image" Target="media/image9.emf"/><Relationship Id="rId27" Type="http://schemas.openxmlformats.org/officeDocument/2006/relationships/hyperlink" Target="http://www.google.com/books?hl=en&amp;lr=&amp;id=H9ReAijCK8cC&amp;oi=fnd&amp;pg=PR15&amp;dq=competitive+advantage&amp;ots=p7aBPJ9-4D&amp;sig=tmFmFQitYcazjZU9BFLabLRmdi0" TargetMode="External"/><Relationship Id="rId30" Type="http://schemas.openxmlformats.org/officeDocument/2006/relationships/hyperlink" Target="http://amp.aom.org/search?author1=Stuart+L.+Hart&amp;sortspec=date&amp;submit=Submit" TargetMode="External"/><Relationship Id="rId35" Type="http://schemas.openxmlformats.org/officeDocument/2006/relationships/hyperlink" Target="http://unidemi.com/" TargetMode="Externa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mailto:vcm@fct.unl.pt" TargetMode="External"/><Relationship Id="rId1" Type="http://schemas.openxmlformats.org/officeDocument/2006/relationships/hyperlink" Target="mailto:namc@fct.unl.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B138F-2432-46B1-AB02-9409D8B52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4444</Words>
  <Characters>25335</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cavaco</dc:creator>
  <cp:keywords/>
  <dc:description/>
  <cp:lastModifiedBy>AICI-03</cp:lastModifiedBy>
  <cp:revision>11</cp:revision>
  <dcterms:created xsi:type="dcterms:W3CDTF">2018-08-20T04:17:00Z</dcterms:created>
  <dcterms:modified xsi:type="dcterms:W3CDTF">2018-08-27T09:29:00Z</dcterms:modified>
</cp:coreProperties>
</file>